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right" w:tblpY="1486"/>
        <w:tblW w:w="3320" w:type="dxa"/>
        <w:tblCellMar>
          <w:left w:w="99" w:type="dxa"/>
          <w:right w:w="99" w:type="dxa"/>
        </w:tblCellMar>
        <w:tblLook w:val="0000" w:firstRow="0" w:lastRow="0" w:firstColumn="0" w:lastColumn="0" w:noHBand="0" w:noVBand="0"/>
      </w:tblPr>
      <w:tblGrid>
        <w:gridCol w:w="1239"/>
        <w:gridCol w:w="2081"/>
      </w:tblGrid>
      <w:tr w:rsidR="00294753" w:rsidRPr="005B493A" w:rsidTr="00052A93">
        <w:trPr>
          <w:trHeight w:val="416"/>
        </w:trPr>
        <w:tc>
          <w:tcPr>
            <w:tcW w:w="3320" w:type="dxa"/>
            <w:gridSpan w:val="2"/>
            <w:tcBorders>
              <w:top w:val="single" w:sz="4" w:space="0" w:color="auto"/>
              <w:left w:val="single" w:sz="4" w:space="0" w:color="auto"/>
              <w:bottom w:val="single" w:sz="4" w:space="0" w:color="auto"/>
              <w:right w:val="single" w:sz="4" w:space="0" w:color="000000"/>
            </w:tcBorders>
            <w:noWrap/>
            <w:vAlign w:val="center"/>
          </w:tcPr>
          <w:p w:rsidR="00294753" w:rsidRPr="005B493A" w:rsidRDefault="00D3471D" w:rsidP="00753F87">
            <w:pPr>
              <w:widowControl/>
              <w:spacing w:line="260" w:lineRule="exact"/>
              <w:jc w:val="center"/>
              <w:rPr>
                <w:rFonts w:ascii="メイリオ" w:eastAsia="メイリオ" w:hAnsi="メイリオ" w:cs="メイリオ"/>
                <w:spacing w:val="-10"/>
                <w:kern w:val="0"/>
                <w:sz w:val="18"/>
                <w:szCs w:val="18"/>
              </w:rPr>
            </w:pPr>
            <w:r w:rsidRPr="00D3471D">
              <w:rPr>
                <w:rFonts w:ascii="メイリオ" w:eastAsia="メイリオ" w:hAnsi="メイリオ" w:cs="メイリオ" w:hint="eastAsia"/>
                <w:spacing w:val="-10"/>
                <w:kern w:val="0"/>
                <w:sz w:val="18"/>
                <w:szCs w:val="18"/>
              </w:rPr>
              <w:t>第1回 仙台市自殺対策</w:t>
            </w:r>
            <w:r w:rsidR="00753F87">
              <w:rPr>
                <w:rFonts w:ascii="メイリオ" w:eastAsia="メイリオ" w:hAnsi="メイリオ" w:cs="メイリオ" w:hint="eastAsia"/>
                <w:spacing w:val="-10"/>
                <w:kern w:val="0"/>
                <w:sz w:val="18"/>
                <w:szCs w:val="18"/>
              </w:rPr>
              <w:t>連絡協議会</w:t>
            </w:r>
          </w:p>
        </w:tc>
      </w:tr>
      <w:tr w:rsidR="00294753" w:rsidRPr="005B493A" w:rsidTr="00052A93">
        <w:trPr>
          <w:trHeight w:val="345"/>
        </w:trPr>
        <w:tc>
          <w:tcPr>
            <w:tcW w:w="1239" w:type="dxa"/>
            <w:tcBorders>
              <w:top w:val="nil"/>
              <w:left w:val="single" w:sz="4" w:space="0" w:color="auto"/>
              <w:bottom w:val="single" w:sz="4" w:space="0" w:color="auto"/>
              <w:right w:val="single" w:sz="4" w:space="0" w:color="auto"/>
            </w:tcBorders>
            <w:noWrap/>
            <w:vAlign w:val="center"/>
          </w:tcPr>
          <w:p w:rsidR="00294753" w:rsidRPr="005B493A" w:rsidRDefault="00294753" w:rsidP="00052A93">
            <w:pPr>
              <w:widowControl/>
              <w:spacing w:line="-260" w:lineRule="auto"/>
              <w:jc w:val="center"/>
              <w:rPr>
                <w:rFonts w:ascii="メイリオ" w:eastAsia="メイリオ" w:hAnsi="メイリオ" w:cs="メイリオ"/>
                <w:spacing w:val="-10"/>
                <w:kern w:val="0"/>
                <w:sz w:val="18"/>
                <w:szCs w:val="18"/>
              </w:rPr>
            </w:pPr>
            <w:r w:rsidRPr="005B493A">
              <w:rPr>
                <w:rFonts w:ascii="メイリオ" w:eastAsia="メイリオ" w:hAnsi="メイリオ" w:cs="メイリオ" w:hint="eastAsia"/>
                <w:spacing w:val="-10"/>
                <w:kern w:val="0"/>
                <w:sz w:val="18"/>
                <w:szCs w:val="18"/>
              </w:rPr>
              <w:t>資料</w:t>
            </w:r>
            <w:r w:rsidR="00753F87">
              <w:rPr>
                <w:rFonts w:ascii="メイリオ" w:eastAsia="メイリオ" w:hAnsi="メイリオ" w:cs="メイリオ" w:hint="eastAsia"/>
                <w:spacing w:val="-10"/>
                <w:kern w:val="0"/>
                <w:sz w:val="18"/>
                <w:szCs w:val="18"/>
              </w:rPr>
              <w:t>4</w:t>
            </w:r>
          </w:p>
        </w:tc>
        <w:tc>
          <w:tcPr>
            <w:tcW w:w="2081" w:type="dxa"/>
            <w:tcBorders>
              <w:top w:val="nil"/>
              <w:left w:val="nil"/>
              <w:bottom w:val="single" w:sz="4" w:space="0" w:color="auto"/>
              <w:right w:val="single" w:sz="4" w:space="0" w:color="auto"/>
            </w:tcBorders>
            <w:noWrap/>
            <w:vAlign w:val="center"/>
          </w:tcPr>
          <w:p w:rsidR="00294753" w:rsidRPr="005B493A" w:rsidRDefault="00294753" w:rsidP="00052A93">
            <w:pPr>
              <w:widowControl/>
              <w:spacing w:line="-260" w:lineRule="auto"/>
              <w:jc w:val="center"/>
              <w:rPr>
                <w:rFonts w:ascii="メイリオ" w:eastAsia="メイリオ" w:hAnsi="メイリオ" w:cs="メイリオ"/>
                <w:spacing w:val="-10"/>
                <w:kern w:val="0"/>
                <w:sz w:val="18"/>
                <w:szCs w:val="18"/>
              </w:rPr>
            </w:pPr>
            <w:r w:rsidRPr="005B493A">
              <w:rPr>
                <w:rFonts w:ascii="メイリオ" w:eastAsia="メイリオ" w:hAnsi="メイリオ" w:cs="メイリオ" w:hint="eastAsia"/>
                <w:spacing w:val="-10"/>
                <w:kern w:val="0"/>
                <w:sz w:val="18"/>
                <w:szCs w:val="18"/>
              </w:rPr>
              <w:t>平成30年</w:t>
            </w:r>
            <w:r>
              <w:rPr>
                <w:rFonts w:ascii="メイリオ" w:eastAsia="メイリオ" w:hAnsi="メイリオ" w:cs="メイリオ" w:hint="eastAsia"/>
                <w:spacing w:val="-10"/>
                <w:kern w:val="0"/>
                <w:sz w:val="18"/>
                <w:szCs w:val="18"/>
              </w:rPr>
              <w:t>5</w:t>
            </w:r>
            <w:r w:rsidRPr="005B493A">
              <w:rPr>
                <w:rFonts w:ascii="メイリオ" w:eastAsia="メイリオ" w:hAnsi="メイリオ" w:cs="メイリオ" w:hint="eastAsia"/>
                <w:spacing w:val="-10"/>
                <w:kern w:val="0"/>
                <w:sz w:val="18"/>
                <w:szCs w:val="18"/>
              </w:rPr>
              <w:t>月</w:t>
            </w:r>
            <w:r w:rsidR="00753F87">
              <w:rPr>
                <w:rFonts w:ascii="メイリオ" w:eastAsia="メイリオ" w:hAnsi="メイリオ" w:cs="メイリオ" w:hint="eastAsia"/>
                <w:spacing w:val="-10"/>
                <w:kern w:val="0"/>
                <w:sz w:val="18"/>
                <w:szCs w:val="18"/>
              </w:rPr>
              <w:t>30</w:t>
            </w:r>
            <w:r w:rsidRPr="005B493A">
              <w:rPr>
                <w:rFonts w:ascii="メイリオ" w:eastAsia="メイリオ" w:hAnsi="メイリオ" w:cs="メイリオ" w:hint="eastAsia"/>
                <w:spacing w:val="-10"/>
                <w:kern w:val="0"/>
                <w:sz w:val="18"/>
                <w:szCs w:val="18"/>
              </w:rPr>
              <w:t>日</w:t>
            </w:r>
          </w:p>
        </w:tc>
      </w:tr>
    </w:tbl>
    <w:p w:rsidR="005B493A" w:rsidRDefault="005B493A"/>
    <w:p w:rsidR="00294753" w:rsidRDefault="00294753"/>
    <w:p w:rsidR="00294753" w:rsidRDefault="00294753"/>
    <w:p w:rsidR="00742DD4" w:rsidRPr="00CB48C6" w:rsidRDefault="005B493A" w:rsidP="00F434B4">
      <w:pPr>
        <w:spacing w:line="280" w:lineRule="exact"/>
        <w:jc w:val="center"/>
        <w:rPr>
          <w:rFonts w:asciiTheme="majorEastAsia" w:eastAsiaTheme="majorEastAsia" w:hAnsiTheme="majorEastAsia" w:cs="メイリオ"/>
          <w:sz w:val="24"/>
          <w:szCs w:val="24"/>
        </w:rPr>
      </w:pPr>
      <w:r w:rsidRPr="00CB48C6">
        <w:rPr>
          <w:rFonts w:asciiTheme="majorEastAsia" w:eastAsiaTheme="majorEastAsia" w:hAnsiTheme="majorEastAsia" w:cs="メイリオ" w:hint="eastAsia"/>
          <w:sz w:val="24"/>
          <w:szCs w:val="24"/>
        </w:rPr>
        <w:t>自殺未遂者等ハイリスク者対策について</w:t>
      </w:r>
    </w:p>
    <w:p w:rsidR="00F94011" w:rsidRPr="00CB48C6" w:rsidRDefault="00F94011" w:rsidP="001B2169">
      <w:pPr>
        <w:spacing w:line="360" w:lineRule="exact"/>
        <w:rPr>
          <w:rFonts w:ascii="メイリオ" w:eastAsia="メイリオ" w:hAnsi="メイリオ" w:cs="メイリオ"/>
          <w:b/>
        </w:rPr>
      </w:pPr>
    </w:p>
    <w:p w:rsidR="005E0501" w:rsidRPr="007F4F6E" w:rsidRDefault="00673896" w:rsidP="001B2169">
      <w:pPr>
        <w:spacing w:line="360" w:lineRule="exact"/>
        <w:rPr>
          <w:rFonts w:asciiTheme="majorEastAsia" w:eastAsiaTheme="majorEastAsia" w:hAnsiTheme="majorEastAsia" w:cs="メイリオ"/>
        </w:rPr>
      </w:pPr>
      <w:r>
        <w:rPr>
          <w:rFonts w:asciiTheme="majorEastAsia" w:eastAsiaTheme="majorEastAsia" w:hAnsiTheme="majorEastAsia" w:cs="メイリオ" w:hint="eastAsia"/>
        </w:rPr>
        <w:t>１</w:t>
      </w:r>
      <w:r w:rsidR="005E0501" w:rsidRPr="007F4F6E">
        <w:rPr>
          <w:rFonts w:asciiTheme="majorEastAsia" w:eastAsiaTheme="majorEastAsia" w:hAnsiTheme="majorEastAsia" w:cs="メイリオ" w:hint="eastAsia"/>
        </w:rPr>
        <w:t>.（仮称）</w:t>
      </w:r>
      <w:r w:rsidR="00CF73DF" w:rsidRPr="007F4F6E">
        <w:rPr>
          <w:rFonts w:asciiTheme="majorEastAsia" w:eastAsiaTheme="majorEastAsia" w:hAnsiTheme="majorEastAsia" w:cs="メイリオ" w:hint="eastAsia"/>
        </w:rPr>
        <w:t>仙台市</w:t>
      </w:r>
      <w:r w:rsidR="005E0501" w:rsidRPr="007F4F6E">
        <w:rPr>
          <w:rFonts w:asciiTheme="majorEastAsia" w:eastAsiaTheme="majorEastAsia" w:hAnsiTheme="majorEastAsia" w:cs="メイリオ" w:hint="eastAsia"/>
        </w:rPr>
        <w:t>自殺対策計画上の位置づけ</w:t>
      </w:r>
    </w:p>
    <w:p w:rsidR="005E0501" w:rsidRPr="00497A60" w:rsidRDefault="005E0501" w:rsidP="008354C0">
      <w:pPr>
        <w:rPr>
          <w:rFonts w:ascii="Bookman Old Style" w:hAnsi="Bookman Old Style"/>
        </w:rPr>
      </w:pPr>
      <w:r w:rsidRPr="00497A60">
        <w:rPr>
          <w:rFonts w:ascii="Bookman Old Style" w:hAnsi="Bookman Old Style"/>
        </w:rPr>
        <w:t>（</w:t>
      </w:r>
      <w:r w:rsidRPr="00497A60">
        <w:rPr>
          <w:rFonts w:ascii="Bookman Old Style" w:hAnsi="Bookman Old Style"/>
        </w:rPr>
        <w:t>1</w:t>
      </w:r>
      <w:r w:rsidRPr="00497A60">
        <w:rPr>
          <w:rFonts w:ascii="Bookman Old Style" w:hAnsi="Bookman Old Style"/>
        </w:rPr>
        <w:t>）重点対象</w:t>
      </w:r>
    </w:p>
    <w:p w:rsidR="005E0501" w:rsidRDefault="007057C3" w:rsidP="00B604EB">
      <w:pPr>
        <w:ind w:left="420" w:hangingChars="200" w:hanging="420"/>
      </w:pPr>
      <w:r>
        <w:rPr>
          <w:rFonts w:hint="eastAsia"/>
        </w:rPr>
        <w:t xml:space="preserve">　・本市の自殺</w:t>
      </w:r>
      <w:r w:rsidR="005E0501">
        <w:rPr>
          <w:rFonts w:hint="eastAsia"/>
        </w:rPr>
        <w:t>対策で重点的に取</w:t>
      </w:r>
      <w:r w:rsidR="00AD298F">
        <w:rPr>
          <w:rFonts w:hint="eastAsia"/>
        </w:rPr>
        <w:t>り</w:t>
      </w:r>
      <w:r w:rsidR="005E0501">
        <w:rPr>
          <w:rFonts w:hint="eastAsia"/>
        </w:rPr>
        <w:t>組む対象として</w:t>
      </w:r>
      <w:r w:rsidR="007F4F6E">
        <w:rPr>
          <w:rFonts w:hint="eastAsia"/>
        </w:rPr>
        <w:t>，</w:t>
      </w:r>
      <w:r w:rsidR="0020336F">
        <w:rPr>
          <w:rFonts w:hint="eastAsia"/>
        </w:rPr>
        <w:t>「</w:t>
      </w:r>
      <w:r w:rsidR="005E0501">
        <w:rPr>
          <w:rFonts w:hint="eastAsia"/>
        </w:rPr>
        <w:t>自殺未遂者等を始めとした自死のハイリスク者</w:t>
      </w:r>
      <w:r w:rsidR="0020336F">
        <w:rPr>
          <w:rFonts w:hint="eastAsia"/>
        </w:rPr>
        <w:t>」</w:t>
      </w:r>
      <w:r w:rsidR="00B604EB">
        <w:rPr>
          <w:rFonts w:hint="eastAsia"/>
        </w:rPr>
        <w:t>を位置</w:t>
      </w:r>
      <w:r w:rsidR="005E0501">
        <w:rPr>
          <w:rFonts w:hint="eastAsia"/>
        </w:rPr>
        <w:t>づける。</w:t>
      </w:r>
    </w:p>
    <w:p w:rsidR="005E0501" w:rsidRPr="00497A60" w:rsidRDefault="005E0501" w:rsidP="008354C0">
      <w:pPr>
        <w:rPr>
          <w:rFonts w:ascii="Bookman Old Style" w:hAnsi="Bookman Old Style"/>
        </w:rPr>
      </w:pPr>
      <w:r w:rsidRPr="00497A60">
        <w:rPr>
          <w:rFonts w:ascii="Bookman Old Style" w:hAnsi="Bookman Old Style"/>
        </w:rPr>
        <w:t>（</w:t>
      </w:r>
      <w:r w:rsidRPr="00497A60">
        <w:rPr>
          <w:rFonts w:ascii="Bookman Old Style" w:hAnsi="Bookman Old Style"/>
        </w:rPr>
        <w:t>2</w:t>
      </w:r>
      <w:r w:rsidRPr="00497A60">
        <w:rPr>
          <w:rFonts w:ascii="Bookman Old Style" w:hAnsi="Bookman Old Style"/>
        </w:rPr>
        <w:t>）</w:t>
      </w:r>
      <w:r w:rsidR="00CF73DF" w:rsidRPr="00497A60">
        <w:rPr>
          <w:rFonts w:ascii="Bookman Old Style" w:hAnsi="Bookman Old Style"/>
        </w:rPr>
        <w:t>自死のハイリスク状態を引き起こすと考えられる要因・事柄</w:t>
      </w:r>
      <w:r w:rsidR="00890E10">
        <w:rPr>
          <w:rFonts w:ascii="Bookman Old Style" w:hAnsi="Bookman Old Style" w:hint="eastAsia"/>
        </w:rPr>
        <w:t>：</w:t>
      </w:r>
    </w:p>
    <w:p w:rsidR="0020336F" w:rsidRDefault="005E0501" w:rsidP="008354C0">
      <w:r>
        <w:rPr>
          <w:rFonts w:hint="eastAsia"/>
        </w:rPr>
        <w:t xml:space="preserve">　</w:t>
      </w:r>
      <w:r w:rsidR="00307281">
        <w:rPr>
          <w:rFonts w:hint="eastAsia"/>
        </w:rPr>
        <w:t xml:space="preserve">　</w:t>
      </w:r>
      <w:r w:rsidR="0020336F">
        <w:rPr>
          <w:rFonts w:hint="eastAsia"/>
        </w:rPr>
        <w:t>経済・生活問題（失業</w:t>
      </w:r>
      <w:r w:rsidR="007F4F6E">
        <w:rPr>
          <w:rFonts w:hint="eastAsia"/>
        </w:rPr>
        <w:t>，</w:t>
      </w:r>
      <w:r w:rsidR="0020336F">
        <w:rPr>
          <w:rFonts w:hint="eastAsia"/>
        </w:rPr>
        <w:t>借金）</w:t>
      </w:r>
      <w:r w:rsidR="007F4F6E">
        <w:rPr>
          <w:rFonts w:hint="eastAsia"/>
        </w:rPr>
        <w:t>，</w:t>
      </w:r>
      <w:r w:rsidR="00307281">
        <w:rPr>
          <w:rFonts w:hint="eastAsia"/>
        </w:rPr>
        <w:t>職場問題（過労</w:t>
      </w:r>
      <w:r w:rsidR="007F4F6E">
        <w:rPr>
          <w:rFonts w:hint="eastAsia"/>
        </w:rPr>
        <w:t>，</w:t>
      </w:r>
      <w:r w:rsidR="00307281">
        <w:rPr>
          <w:rFonts w:hint="eastAsia"/>
        </w:rPr>
        <w:t>ハラスメント）</w:t>
      </w:r>
      <w:r w:rsidR="007F4F6E">
        <w:rPr>
          <w:rFonts w:hint="eastAsia"/>
        </w:rPr>
        <w:t>，</w:t>
      </w:r>
      <w:r w:rsidR="00307281">
        <w:rPr>
          <w:rFonts w:hint="eastAsia"/>
        </w:rPr>
        <w:t>人間関係問題（虐待</w:t>
      </w:r>
      <w:r w:rsidR="007F4F6E">
        <w:rPr>
          <w:rFonts w:hint="eastAsia"/>
        </w:rPr>
        <w:t>，</w:t>
      </w:r>
      <w:r w:rsidR="00307281">
        <w:rPr>
          <w:rFonts w:hint="eastAsia"/>
        </w:rPr>
        <w:t>不和など）</w:t>
      </w:r>
    </w:p>
    <w:p w:rsidR="0020336F" w:rsidRDefault="0020336F" w:rsidP="00307281">
      <w:pPr>
        <w:ind w:firstLineChars="200" w:firstLine="420"/>
      </w:pPr>
      <w:r>
        <w:rPr>
          <w:rFonts w:hint="eastAsia"/>
        </w:rPr>
        <w:t>学校問題（学業不振</w:t>
      </w:r>
      <w:r w:rsidR="007F4F6E">
        <w:rPr>
          <w:rFonts w:hint="eastAsia"/>
        </w:rPr>
        <w:t>，</w:t>
      </w:r>
      <w:r w:rsidR="00D9721A">
        <w:rPr>
          <w:rFonts w:hint="eastAsia"/>
        </w:rPr>
        <w:t>不適応</w:t>
      </w:r>
      <w:r w:rsidR="00890E10">
        <w:rPr>
          <w:rFonts w:hint="eastAsia"/>
        </w:rPr>
        <w:t>など）</w:t>
      </w:r>
      <w:r w:rsidR="007F4F6E">
        <w:rPr>
          <w:rFonts w:hint="eastAsia"/>
        </w:rPr>
        <w:t>，</w:t>
      </w:r>
      <w:r w:rsidR="00890E10">
        <w:rPr>
          <w:rFonts w:hint="eastAsia"/>
        </w:rPr>
        <w:t>健康問題（精神疾患や慢性疾患等）</w:t>
      </w:r>
    </w:p>
    <w:p w:rsidR="0020336F" w:rsidRPr="0020336F" w:rsidRDefault="0020336F" w:rsidP="008354C0">
      <w:r>
        <w:rPr>
          <w:rFonts w:hint="eastAsia"/>
        </w:rPr>
        <w:t xml:space="preserve">　</w:t>
      </w:r>
      <w:r w:rsidR="00307281">
        <w:rPr>
          <w:rFonts w:hint="eastAsia"/>
        </w:rPr>
        <w:t xml:space="preserve">　</w:t>
      </w:r>
      <w:r>
        <w:rPr>
          <w:rFonts w:hint="eastAsia"/>
        </w:rPr>
        <w:t>災害や事件などの</w:t>
      </w:r>
      <w:r w:rsidR="00307281">
        <w:rPr>
          <w:rFonts w:hint="eastAsia"/>
        </w:rPr>
        <w:t>予期しない出来事</w:t>
      </w:r>
      <w:r w:rsidR="007F4F6E">
        <w:rPr>
          <w:rFonts w:hint="eastAsia"/>
        </w:rPr>
        <w:t>，</w:t>
      </w:r>
      <w:r w:rsidR="00307281">
        <w:rPr>
          <w:rFonts w:hint="eastAsia"/>
        </w:rPr>
        <w:t>孤立感・社会的支援の不足</w:t>
      </w:r>
      <w:r w:rsidR="007F4F6E">
        <w:rPr>
          <w:rFonts w:hint="eastAsia"/>
        </w:rPr>
        <w:t>，</w:t>
      </w:r>
      <w:r w:rsidR="00307281">
        <w:rPr>
          <w:rFonts w:hint="eastAsia"/>
        </w:rPr>
        <w:t>自傷行為・自殺未遂</w:t>
      </w:r>
      <w:r>
        <w:rPr>
          <w:rFonts w:hint="eastAsia"/>
        </w:rPr>
        <w:t>・・・など</w:t>
      </w:r>
    </w:p>
    <w:p w:rsidR="00CF73DF" w:rsidRPr="007F4F6E" w:rsidRDefault="00CF73DF" w:rsidP="00307281">
      <w:pPr>
        <w:spacing w:line="280" w:lineRule="exact"/>
        <w:ind w:firstLineChars="100" w:firstLine="210"/>
        <w:rPr>
          <w:rFonts w:asciiTheme="majorEastAsia" w:eastAsiaTheme="majorEastAsia" w:hAnsiTheme="majorEastAsia" w:cs="メイリオ"/>
        </w:rPr>
      </w:pPr>
      <w:r>
        <w:rPr>
          <w:rFonts w:hint="eastAsia"/>
        </w:rPr>
        <w:t xml:space="preserve">　</w:t>
      </w:r>
      <w:r w:rsidRPr="007F4F6E">
        <w:rPr>
          <w:rFonts w:asciiTheme="majorEastAsia" w:eastAsiaTheme="majorEastAsia" w:hAnsiTheme="majorEastAsia" w:hint="eastAsia"/>
        </w:rPr>
        <w:t>➡</w:t>
      </w:r>
      <w:r w:rsidRPr="007F4F6E">
        <w:rPr>
          <w:rFonts w:asciiTheme="majorEastAsia" w:eastAsiaTheme="majorEastAsia" w:hAnsiTheme="majorEastAsia" w:cs="メイリオ" w:hint="eastAsia"/>
        </w:rPr>
        <w:t>生きることの阻害要因</w:t>
      </w:r>
    </w:p>
    <w:p w:rsidR="005E0501" w:rsidRPr="00497A60" w:rsidRDefault="00CF73DF" w:rsidP="008354C0">
      <w:pPr>
        <w:rPr>
          <w:rFonts w:ascii="Bookman Old Style" w:hAnsi="Bookman Old Style"/>
        </w:rPr>
      </w:pPr>
      <w:r w:rsidRPr="00497A60">
        <w:rPr>
          <w:rFonts w:ascii="Bookman Old Style" w:hAnsi="Bookman Old Style"/>
        </w:rPr>
        <w:t>（</w:t>
      </w:r>
      <w:r w:rsidRPr="00497A60">
        <w:rPr>
          <w:rFonts w:ascii="Bookman Old Style" w:hAnsi="Bookman Old Style"/>
        </w:rPr>
        <w:t>3</w:t>
      </w:r>
      <w:r w:rsidRPr="00497A60">
        <w:rPr>
          <w:rFonts w:ascii="Bookman Old Style" w:hAnsi="Bookman Old Style"/>
        </w:rPr>
        <w:t>）自死のハイリスク状態を回避するのに有効と考えられる要因</w:t>
      </w:r>
      <w:r w:rsidR="005E0501" w:rsidRPr="00497A60">
        <w:rPr>
          <w:rFonts w:ascii="Bookman Old Style" w:hAnsi="Bookman Old Style"/>
        </w:rPr>
        <w:t>・</w:t>
      </w:r>
      <w:r w:rsidRPr="00497A60">
        <w:rPr>
          <w:rFonts w:ascii="Bookman Old Style" w:hAnsi="Bookman Old Style"/>
        </w:rPr>
        <w:t>事柄</w:t>
      </w:r>
      <w:r w:rsidR="00BB4150" w:rsidRPr="00497A60">
        <w:rPr>
          <w:rFonts w:ascii="Bookman Old Style" w:hAnsi="Bookman Old Style"/>
        </w:rPr>
        <w:t>：</w:t>
      </w:r>
    </w:p>
    <w:p w:rsidR="00497A60" w:rsidRDefault="0020336F" w:rsidP="008354C0">
      <w:r>
        <w:rPr>
          <w:rFonts w:hint="eastAsia"/>
        </w:rPr>
        <w:t xml:space="preserve">　</w:t>
      </w:r>
      <w:r w:rsidR="00307281">
        <w:rPr>
          <w:rFonts w:hint="eastAsia"/>
        </w:rPr>
        <w:t xml:space="preserve">　</w:t>
      </w:r>
      <w:r>
        <w:rPr>
          <w:rFonts w:hint="eastAsia"/>
        </w:rPr>
        <w:t>孤立感の解消</w:t>
      </w:r>
      <w:r w:rsidR="007F4F6E">
        <w:rPr>
          <w:rFonts w:hint="eastAsia"/>
        </w:rPr>
        <w:t>，</w:t>
      </w:r>
      <w:r>
        <w:rPr>
          <w:rFonts w:hint="eastAsia"/>
        </w:rPr>
        <w:t>希望を見出せること</w:t>
      </w:r>
      <w:r w:rsidR="007F4F6E">
        <w:rPr>
          <w:rFonts w:hint="eastAsia"/>
        </w:rPr>
        <w:t>，</w:t>
      </w:r>
      <w:r>
        <w:rPr>
          <w:rFonts w:hint="eastAsia"/>
        </w:rPr>
        <w:t>良好な対人関係・人間関係</w:t>
      </w:r>
      <w:r w:rsidR="007F4F6E">
        <w:rPr>
          <w:rFonts w:hint="eastAsia"/>
        </w:rPr>
        <w:t>，</w:t>
      </w:r>
      <w:r>
        <w:rPr>
          <w:rFonts w:hint="eastAsia"/>
        </w:rPr>
        <w:t>社会的なサポート</w:t>
      </w:r>
    </w:p>
    <w:p w:rsidR="00BB4150" w:rsidRPr="007F4F6E" w:rsidRDefault="00CF73DF" w:rsidP="0020336F">
      <w:pPr>
        <w:spacing w:line="280" w:lineRule="exact"/>
        <w:rPr>
          <w:rFonts w:asciiTheme="majorEastAsia" w:eastAsiaTheme="majorEastAsia" w:hAnsiTheme="majorEastAsia" w:cs="メイリオ"/>
        </w:rPr>
      </w:pPr>
      <w:r w:rsidRPr="007F4F6E">
        <w:rPr>
          <w:rFonts w:asciiTheme="majorEastAsia" w:eastAsiaTheme="majorEastAsia" w:hAnsiTheme="majorEastAsia" w:cs="メイリオ" w:hint="eastAsia"/>
        </w:rPr>
        <w:t xml:space="preserve">　</w:t>
      </w:r>
      <w:r w:rsidR="00307281" w:rsidRPr="007F4F6E">
        <w:rPr>
          <w:rFonts w:asciiTheme="majorEastAsia" w:eastAsiaTheme="majorEastAsia" w:hAnsiTheme="majorEastAsia" w:cs="メイリオ" w:hint="eastAsia"/>
        </w:rPr>
        <w:t xml:space="preserve">　</w:t>
      </w:r>
      <w:r w:rsidR="00307281" w:rsidRPr="007F4F6E">
        <w:rPr>
          <w:rFonts w:asciiTheme="majorEastAsia" w:eastAsiaTheme="majorEastAsia" w:hAnsiTheme="majorEastAsia" w:hint="eastAsia"/>
        </w:rPr>
        <w:t>➡</w:t>
      </w:r>
      <w:r w:rsidRPr="007F4F6E">
        <w:rPr>
          <w:rFonts w:asciiTheme="majorEastAsia" w:eastAsiaTheme="majorEastAsia" w:hAnsiTheme="majorEastAsia" w:cs="メイリオ" w:hint="eastAsia"/>
        </w:rPr>
        <w:t>生きることの促進要因</w:t>
      </w:r>
    </w:p>
    <w:p w:rsidR="00CF73DF" w:rsidRPr="00497A60" w:rsidRDefault="00CF73DF" w:rsidP="0061482E">
      <w:pPr>
        <w:ind w:left="420" w:hangingChars="200" w:hanging="420"/>
        <w:rPr>
          <w:rFonts w:ascii="Bookman Old Style" w:hAnsi="Bookman Old Style"/>
        </w:rPr>
      </w:pPr>
      <w:r w:rsidRPr="00497A60">
        <w:rPr>
          <w:rFonts w:ascii="Bookman Old Style" w:hAnsi="Bookman Old Style"/>
        </w:rPr>
        <w:t>（</w:t>
      </w:r>
      <w:r w:rsidRPr="00497A60">
        <w:rPr>
          <w:rFonts w:ascii="Bookman Old Style" w:hAnsi="Bookman Old Style"/>
        </w:rPr>
        <w:t>4</w:t>
      </w:r>
      <w:r w:rsidRPr="00497A60">
        <w:rPr>
          <w:rFonts w:ascii="Bookman Old Style" w:hAnsi="Bookman Old Style"/>
        </w:rPr>
        <w:t>）自殺未遂者等ハイリスク者支援の基本的な視点</w:t>
      </w:r>
    </w:p>
    <w:p w:rsidR="00CF73DF" w:rsidRDefault="00BB4150" w:rsidP="0061482E">
      <w:pPr>
        <w:ind w:left="420" w:hangingChars="200" w:hanging="420"/>
      </w:pPr>
      <w:r>
        <w:rPr>
          <w:rFonts w:hint="eastAsia"/>
        </w:rPr>
        <w:t xml:space="preserve">　</w:t>
      </w:r>
      <w:r w:rsidR="007057C3">
        <w:rPr>
          <w:rFonts w:hint="eastAsia"/>
        </w:rPr>
        <w:t>・自殺</w:t>
      </w:r>
      <w:r w:rsidR="00CF73DF">
        <w:rPr>
          <w:rFonts w:hint="eastAsia"/>
        </w:rPr>
        <w:t>対策は生きることの包括的支援であり</w:t>
      </w:r>
      <w:r w:rsidR="007F4F6E">
        <w:rPr>
          <w:rFonts w:hint="eastAsia"/>
        </w:rPr>
        <w:t>，</w:t>
      </w:r>
      <w:r w:rsidR="00CF73DF">
        <w:rPr>
          <w:rFonts w:hint="eastAsia"/>
        </w:rPr>
        <w:t>自死は生きることの阻害要因が複数重なり</w:t>
      </w:r>
      <w:r w:rsidR="007F4F6E">
        <w:rPr>
          <w:rFonts w:hint="eastAsia"/>
        </w:rPr>
        <w:t>，</w:t>
      </w:r>
      <w:r w:rsidR="00CF73DF">
        <w:rPr>
          <w:rFonts w:hint="eastAsia"/>
        </w:rPr>
        <w:t>生きることの促進要因が乏しい中で発生すると考えられる。</w:t>
      </w:r>
    </w:p>
    <w:p w:rsidR="00CF73DF" w:rsidRDefault="00CF73DF" w:rsidP="0061482E">
      <w:pPr>
        <w:ind w:left="420" w:hangingChars="200" w:hanging="420"/>
      </w:pPr>
      <w:r>
        <w:rPr>
          <w:rFonts w:hint="eastAsia"/>
        </w:rPr>
        <w:t xml:space="preserve">　</w:t>
      </w:r>
      <w:r w:rsidR="00307281">
        <w:rPr>
          <w:rFonts w:hint="eastAsia"/>
        </w:rPr>
        <w:t xml:space="preserve">　➡</w:t>
      </w:r>
      <w:r w:rsidR="007057C3">
        <w:rPr>
          <w:rFonts w:hint="eastAsia"/>
        </w:rPr>
        <w:t>自殺</w:t>
      </w:r>
      <w:r w:rsidR="00497A60">
        <w:rPr>
          <w:rFonts w:hint="eastAsia"/>
        </w:rPr>
        <w:t>対策は生きることの阻害要因を低減</w:t>
      </w:r>
      <w:r w:rsidR="00FB36BA">
        <w:rPr>
          <w:rFonts w:hint="eastAsia"/>
        </w:rPr>
        <w:t>させ</w:t>
      </w:r>
      <w:r w:rsidR="007F4F6E">
        <w:rPr>
          <w:rFonts w:hint="eastAsia"/>
        </w:rPr>
        <w:t>，</w:t>
      </w:r>
      <w:r w:rsidR="00FB36BA">
        <w:rPr>
          <w:rFonts w:hint="eastAsia"/>
        </w:rPr>
        <w:t>生きることの促進</w:t>
      </w:r>
      <w:r w:rsidR="00497A60">
        <w:rPr>
          <w:rFonts w:hint="eastAsia"/>
        </w:rPr>
        <w:t>要因を増加させる取組</w:t>
      </w:r>
      <w:r w:rsidR="00AD298F">
        <w:rPr>
          <w:rFonts w:hint="eastAsia"/>
        </w:rPr>
        <w:t>み</w:t>
      </w:r>
    </w:p>
    <w:p w:rsidR="00BB4150" w:rsidRPr="0061482E" w:rsidRDefault="00BB4150" w:rsidP="008354C0"/>
    <w:p w:rsidR="008354C0" w:rsidRPr="007F4F6E" w:rsidRDefault="00673896" w:rsidP="001B2169">
      <w:pPr>
        <w:spacing w:line="360" w:lineRule="exact"/>
        <w:rPr>
          <w:rFonts w:asciiTheme="majorEastAsia" w:eastAsiaTheme="majorEastAsia" w:hAnsiTheme="majorEastAsia" w:cs="メイリオ"/>
        </w:rPr>
      </w:pPr>
      <w:r>
        <w:rPr>
          <w:rFonts w:asciiTheme="majorEastAsia" w:eastAsiaTheme="majorEastAsia" w:hAnsiTheme="majorEastAsia" w:cs="メイリオ" w:hint="eastAsia"/>
        </w:rPr>
        <w:t>２</w:t>
      </w:r>
      <w:r w:rsidR="00BB4150" w:rsidRPr="007F4F6E">
        <w:rPr>
          <w:rFonts w:asciiTheme="majorEastAsia" w:eastAsiaTheme="majorEastAsia" w:hAnsiTheme="majorEastAsia" w:cs="メイリオ" w:hint="eastAsia"/>
        </w:rPr>
        <w:t>.</w:t>
      </w:r>
      <w:r w:rsidR="007057C3" w:rsidRPr="007F4F6E">
        <w:rPr>
          <w:rFonts w:asciiTheme="majorEastAsia" w:eastAsiaTheme="majorEastAsia" w:hAnsiTheme="majorEastAsia" w:cs="メイリオ" w:hint="eastAsia"/>
        </w:rPr>
        <w:t>仙台市の自殺</w:t>
      </w:r>
      <w:r w:rsidR="009F2072" w:rsidRPr="007F4F6E">
        <w:rPr>
          <w:rFonts w:asciiTheme="majorEastAsia" w:eastAsiaTheme="majorEastAsia" w:hAnsiTheme="majorEastAsia" w:cs="メイリオ" w:hint="eastAsia"/>
        </w:rPr>
        <w:t>者（自殺未遂者等ハイリスク者に関するもの）の現状</w:t>
      </w:r>
    </w:p>
    <w:p w:rsidR="009F2072" w:rsidRPr="0020336F" w:rsidRDefault="009F2072" w:rsidP="00926B5A">
      <w:pPr>
        <w:spacing w:line="240" w:lineRule="exact"/>
        <w:rPr>
          <w:rFonts w:ascii="Bookman Old Style" w:hAnsi="Bookman Old Style"/>
        </w:rPr>
      </w:pPr>
      <w:r w:rsidRPr="0020336F">
        <w:rPr>
          <w:rFonts w:ascii="Bookman Old Style" w:hAnsi="Bookman Old Style"/>
        </w:rPr>
        <w:t>（</w:t>
      </w:r>
      <w:r w:rsidRPr="0020336F">
        <w:rPr>
          <w:rFonts w:ascii="Bookman Old Style" w:hAnsi="Bookman Old Style"/>
        </w:rPr>
        <w:t>1</w:t>
      </w:r>
      <w:r w:rsidRPr="0020336F">
        <w:rPr>
          <w:rFonts w:ascii="Bookman Old Style" w:hAnsi="Bookman Old Style"/>
        </w:rPr>
        <w:t>）</w:t>
      </w:r>
      <w:r w:rsidR="009074EB" w:rsidRPr="0020336F">
        <w:rPr>
          <w:rFonts w:ascii="Bookman Old Style" w:hAnsi="Bookman Old Style"/>
        </w:rPr>
        <w:t>自殺未遂歴</w:t>
      </w:r>
    </w:p>
    <w:p w:rsidR="00565F13" w:rsidRPr="0086615F" w:rsidRDefault="0086615F" w:rsidP="0086615F">
      <w:pPr>
        <w:spacing w:line="400" w:lineRule="exact"/>
        <w:ind w:firstLineChars="100" w:firstLine="210"/>
        <w:rPr>
          <w:rFonts w:asciiTheme="minorEastAsia" w:hAnsiTheme="minorEastAsia" w:cs="メイリオ"/>
        </w:rPr>
      </w:pPr>
      <w:r w:rsidRPr="0086615F">
        <w:rPr>
          <w:rFonts w:asciiTheme="minorEastAsia" w:hAnsiTheme="minorEastAsia" w:cs="メイリオ" w:hint="eastAsia"/>
        </w:rPr>
        <w:t>・</w:t>
      </w:r>
      <w:r w:rsidR="007057C3" w:rsidRPr="0086615F">
        <w:rPr>
          <w:rFonts w:asciiTheme="minorEastAsia" w:hAnsiTheme="minorEastAsia" w:cs="メイリオ" w:hint="eastAsia"/>
        </w:rPr>
        <w:t>自殺</w:t>
      </w:r>
      <w:r w:rsidR="0020336F" w:rsidRPr="0086615F">
        <w:rPr>
          <w:rFonts w:asciiTheme="minorEastAsia" w:hAnsiTheme="minorEastAsia" w:cs="メイリオ"/>
        </w:rPr>
        <w:t>者</w:t>
      </w:r>
      <w:r w:rsidR="0020336F" w:rsidRPr="0086615F">
        <w:rPr>
          <w:rFonts w:asciiTheme="minorEastAsia" w:hAnsiTheme="minorEastAsia" w:cs="メイリオ" w:hint="eastAsia"/>
        </w:rPr>
        <w:t>全体</w:t>
      </w:r>
      <w:r w:rsidR="0020336F" w:rsidRPr="0086615F">
        <w:rPr>
          <w:rFonts w:asciiTheme="minorEastAsia" w:hAnsiTheme="minorEastAsia" w:cs="メイリオ"/>
        </w:rPr>
        <w:t>のうち</w:t>
      </w:r>
      <w:r w:rsidR="007F4F6E" w:rsidRPr="0086615F">
        <w:rPr>
          <w:rFonts w:asciiTheme="minorEastAsia" w:hAnsiTheme="minorEastAsia" w:cs="メイリオ"/>
        </w:rPr>
        <w:t>，</w:t>
      </w:r>
      <w:r w:rsidR="0020336F" w:rsidRPr="0086615F">
        <w:rPr>
          <w:rFonts w:asciiTheme="minorEastAsia" w:hAnsiTheme="minorEastAsia" w:cs="メイリオ"/>
        </w:rPr>
        <w:t>約</w:t>
      </w:r>
      <w:r w:rsidR="0020336F" w:rsidRPr="0086615F">
        <w:rPr>
          <w:rFonts w:asciiTheme="minorEastAsia" w:hAnsiTheme="minorEastAsia" w:cs="メイリオ" w:hint="eastAsia"/>
        </w:rPr>
        <w:t>2割</w:t>
      </w:r>
      <w:r>
        <w:rPr>
          <w:rFonts w:asciiTheme="minorEastAsia" w:hAnsiTheme="minorEastAsia" w:cs="メイリオ" w:hint="eastAsia"/>
        </w:rPr>
        <w:t>に</w:t>
      </w:r>
      <w:r w:rsidR="0020336F" w:rsidRPr="0086615F">
        <w:rPr>
          <w:rFonts w:asciiTheme="minorEastAsia" w:hAnsiTheme="minorEastAsia" w:cs="メイリオ"/>
        </w:rPr>
        <w:t>自殺未遂歴有（</w:t>
      </w:r>
      <w:r>
        <w:rPr>
          <w:rFonts w:asciiTheme="minorEastAsia" w:hAnsiTheme="minorEastAsia" w:cs="メイリオ" w:hint="eastAsia"/>
        </w:rPr>
        <w:t>平成24～28年の累積値に占める割合：22.3</w:t>
      </w:r>
      <w:r w:rsidR="0020336F" w:rsidRPr="0086615F">
        <w:rPr>
          <w:rFonts w:asciiTheme="minorEastAsia" w:hAnsiTheme="minorEastAsia" w:cs="メイリオ"/>
        </w:rPr>
        <w:t>％）</w:t>
      </w:r>
    </w:p>
    <w:p w:rsidR="0020336F" w:rsidRPr="00565F13" w:rsidRDefault="00FB36BA" w:rsidP="00565F13">
      <w:pPr>
        <w:spacing w:line="400" w:lineRule="exact"/>
        <w:ind w:firstLineChars="100" w:firstLine="210"/>
        <w:rPr>
          <w:rFonts w:ascii="メイリオ" w:eastAsia="メイリオ" w:hAnsi="メイリオ" w:cs="メイリオ"/>
          <w:b/>
        </w:rPr>
      </w:pPr>
      <w:r>
        <w:rPr>
          <w:rFonts w:asciiTheme="minorEastAsia" w:hAnsiTheme="minorEastAsia" w:cs="メイリオ" w:hint="eastAsia"/>
        </w:rPr>
        <w:t>・自傷行為や自殺未遂</w:t>
      </w:r>
      <w:r w:rsidR="00354D3F">
        <w:rPr>
          <w:rFonts w:asciiTheme="minorEastAsia" w:hAnsiTheme="minorEastAsia" w:cs="メイリオ" w:hint="eastAsia"/>
        </w:rPr>
        <w:t>歴</w:t>
      </w:r>
      <w:r>
        <w:rPr>
          <w:rFonts w:asciiTheme="minorEastAsia" w:hAnsiTheme="minorEastAsia" w:cs="メイリオ" w:hint="eastAsia"/>
        </w:rPr>
        <w:t>は</w:t>
      </w:r>
      <w:r w:rsidR="00354D3F">
        <w:rPr>
          <w:rFonts w:asciiTheme="minorEastAsia" w:hAnsiTheme="minorEastAsia" w:cs="メイリオ" w:hint="eastAsia"/>
        </w:rPr>
        <w:t>その行為自体が自死のハイリスク状態につながる</w:t>
      </w:r>
      <w:r>
        <w:rPr>
          <w:rFonts w:asciiTheme="minorEastAsia" w:hAnsiTheme="minorEastAsia" w:cs="メイリオ" w:hint="eastAsia"/>
        </w:rPr>
        <w:t>最も大きな要因の</w:t>
      </w:r>
      <w:r w:rsidRPr="00D648E8">
        <w:rPr>
          <w:rFonts w:ascii="Bookman Old Style" w:hAnsi="Bookman Old Style" w:cs="メイリオ"/>
        </w:rPr>
        <w:t>1</w:t>
      </w:r>
      <w:r w:rsidRPr="00D648E8">
        <w:rPr>
          <w:rFonts w:ascii="Bookman Old Style" w:hAnsi="Bookman Old Style" w:cs="メイリオ"/>
        </w:rPr>
        <w:t>つ</w:t>
      </w:r>
    </w:p>
    <w:p w:rsidR="00183674" w:rsidRDefault="00FB36BA" w:rsidP="00F94011">
      <w:pPr>
        <w:spacing w:line="400" w:lineRule="exact"/>
        <w:ind w:leftChars="100" w:left="420" w:hangingChars="100" w:hanging="210"/>
        <w:rPr>
          <w:rFonts w:ascii="Bookman Old Style" w:hAnsi="Bookman Old Style" w:cs="メイリオ"/>
        </w:rPr>
      </w:pPr>
      <w:r>
        <w:rPr>
          <w:rFonts w:ascii="Bookman Old Style" w:hAnsi="Bookman Old Style" w:cs="メイリオ" w:hint="eastAsia"/>
        </w:rPr>
        <w:t>・</w:t>
      </w:r>
      <w:r w:rsidR="004B14C8">
        <w:rPr>
          <w:rFonts w:ascii="Bookman Old Style" w:hAnsi="Bookman Old Style" w:cs="メイリオ" w:hint="eastAsia"/>
        </w:rPr>
        <w:t>未遂歴のある人々に対して</w:t>
      </w:r>
      <w:r w:rsidR="007F4F6E">
        <w:rPr>
          <w:rFonts w:ascii="Bookman Old Style" w:hAnsi="Bookman Old Style" w:cs="メイリオ" w:hint="eastAsia"/>
        </w:rPr>
        <w:t>，</w:t>
      </w:r>
      <w:r w:rsidR="004B14C8">
        <w:rPr>
          <w:rFonts w:ascii="Bookman Old Style" w:hAnsi="Bookman Old Style" w:cs="メイリオ" w:hint="eastAsia"/>
        </w:rPr>
        <w:t>既遂に至る前に</w:t>
      </w:r>
      <w:r w:rsidR="00183674">
        <w:rPr>
          <w:rFonts w:ascii="Bookman Old Style" w:hAnsi="Bookman Old Style" w:cs="メイリオ" w:hint="eastAsia"/>
        </w:rPr>
        <w:t>対策を講じることが重要</w:t>
      </w:r>
      <w:r w:rsidR="007F4F6E">
        <w:rPr>
          <w:rFonts w:ascii="Bookman Old Style" w:hAnsi="Bookman Old Style" w:cs="メイリオ" w:hint="eastAsia"/>
        </w:rPr>
        <w:t>である</w:t>
      </w:r>
      <w:r w:rsidR="00673896">
        <w:rPr>
          <w:rFonts w:ascii="Bookman Old Style" w:hAnsi="Bookman Old Style" w:cs="メイリオ" w:hint="eastAsia"/>
        </w:rPr>
        <w:t>。</w:t>
      </w:r>
    </w:p>
    <w:p w:rsidR="009074EB" w:rsidRPr="001D2B58" w:rsidRDefault="009074EB" w:rsidP="00EB64F6">
      <w:pPr>
        <w:rPr>
          <w:rFonts w:ascii="Bookman Old Style" w:hAnsi="Bookman Old Style"/>
        </w:rPr>
      </w:pPr>
      <w:r w:rsidRPr="001D2B58">
        <w:rPr>
          <w:rFonts w:ascii="Bookman Old Style" w:hAnsi="Bookman Old Style"/>
        </w:rPr>
        <w:t>（</w:t>
      </w:r>
      <w:r w:rsidRPr="001D2B58">
        <w:rPr>
          <w:rFonts w:ascii="Bookman Old Style" w:hAnsi="Bookman Old Style"/>
        </w:rPr>
        <w:t>2</w:t>
      </w:r>
      <w:r w:rsidRPr="001D2B58">
        <w:rPr>
          <w:rFonts w:ascii="Bookman Old Style" w:hAnsi="Bookman Old Style"/>
        </w:rPr>
        <w:t>）自損事故（自殺未遂）による救急搬送事例</w:t>
      </w:r>
    </w:p>
    <w:p w:rsidR="00EB64F6" w:rsidRPr="009074EB" w:rsidRDefault="001D031B" w:rsidP="009074EB">
      <w:pPr>
        <w:ind w:firstLineChars="200" w:firstLine="420"/>
        <w:rPr>
          <w:sz w:val="18"/>
          <w:szCs w:val="18"/>
        </w:rPr>
      </w:pPr>
      <w:r>
        <w:rPr>
          <w:rFonts w:hint="eastAsia"/>
        </w:rPr>
        <w:t>表</w:t>
      </w:r>
      <w:r w:rsidRPr="001D031B">
        <w:rPr>
          <w:rFonts w:ascii="Bookman Old Style" w:hAnsi="Bookman Old Style"/>
        </w:rPr>
        <w:t>2.</w:t>
      </w:r>
      <w:r w:rsidR="00EB64F6">
        <w:rPr>
          <w:rFonts w:hint="eastAsia"/>
        </w:rPr>
        <w:t>自殺未遂から入院に至る</w:t>
      </w:r>
      <w:r w:rsidR="00790E16">
        <w:rPr>
          <w:rFonts w:hint="eastAsia"/>
        </w:rPr>
        <w:t>者の推計</w:t>
      </w:r>
      <w:r w:rsidR="00EB64F6" w:rsidRPr="009074EB">
        <w:rPr>
          <w:rFonts w:hint="eastAsia"/>
          <w:sz w:val="18"/>
          <w:szCs w:val="18"/>
        </w:rPr>
        <w:t>（仙台市消防局事故種別出動件数及び搬送人員の自損行為件数から）</w:t>
      </w:r>
    </w:p>
    <w:tbl>
      <w:tblPr>
        <w:tblStyle w:val="a3"/>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1276"/>
        <w:gridCol w:w="1134"/>
        <w:gridCol w:w="1134"/>
        <w:gridCol w:w="709"/>
        <w:gridCol w:w="5441"/>
      </w:tblGrid>
      <w:tr w:rsidR="00B82FF8" w:rsidTr="00241C0E">
        <w:tc>
          <w:tcPr>
            <w:tcW w:w="1276" w:type="dxa"/>
            <w:tcBorders>
              <w:top w:val="single" w:sz="12" w:space="0" w:color="auto"/>
              <w:bottom w:val="single" w:sz="12" w:space="0" w:color="auto"/>
            </w:tcBorders>
          </w:tcPr>
          <w:p w:rsidR="00B82FF8" w:rsidRDefault="00B82FF8" w:rsidP="00C027FA">
            <w:pPr>
              <w:jc w:val="center"/>
            </w:pPr>
            <w:r>
              <w:rPr>
                <w:rFonts w:hint="eastAsia"/>
              </w:rPr>
              <w:t>年度</w:t>
            </w:r>
          </w:p>
        </w:tc>
        <w:tc>
          <w:tcPr>
            <w:tcW w:w="1134" w:type="dxa"/>
            <w:tcBorders>
              <w:top w:val="single" w:sz="12" w:space="0" w:color="auto"/>
              <w:bottom w:val="single" w:sz="12" w:space="0" w:color="auto"/>
            </w:tcBorders>
          </w:tcPr>
          <w:p w:rsidR="00B82FF8" w:rsidRDefault="00B82FF8" w:rsidP="00C027FA">
            <w:pPr>
              <w:jc w:val="center"/>
            </w:pPr>
            <w:r>
              <w:rPr>
                <w:rFonts w:hint="eastAsia"/>
              </w:rPr>
              <w:t>出動件数</w:t>
            </w:r>
          </w:p>
        </w:tc>
        <w:tc>
          <w:tcPr>
            <w:tcW w:w="1134" w:type="dxa"/>
            <w:tcBorders>
              <w:top w:val="single" w:sz="12" w:space="0" w:color="auto"/>
              <w:bottom w:val="single" w:sz="12" w:space="0" w:color="auto"/>
              <w:right w:val="nil"/>
            </w:tcBorders>
          </w:tcPr>
          <w:p w:rsidR="00B82FF8" w:rsidRDefault="00B82FF8" w:rsidP="00C027FA">
            <w:pPr>
              <w:jc w:val="center"/>
            </w:pPr>
            <w:r>
              <w:rPr>
                <w:rFonts w:hint="eastAsia"/>
              </w:rPr>
              <w:t>搬送人員</w:t>
            </w:r>
          </w:p>
        </w:tc>
        <w:tc>
          <w:tcPr>
            <w:tcW w:w="709" w:type="dxa"/>
            <w:vMerge w:val="restart"/>
            <w:tcBorders>
              <w:top w:val="nil"/>
              <w:left w:val="nil"/>
              <w:right w:val="nil"/>
            </w:tcBorders>
          </w:tcPr>
          <w:p w:rsidR="00B82FF8" w:rsidRDefault="00643CBF" w:rsidP="001D031B">
            <w:r w:rsidRPr="00643CBF">
              <w:rPr>
                <w:rFonts w:ascii="Bookman Old Style" w:hAnsi="Bookman Old Style"/>
                <w:noProof/>
                <w:szCs w:val="21"/>
              </w:rPr>
              <mc:AlternateContent>
                <mc:Choice Requires="wps">
                  <w:drawing>
                    <wp:anchor distT="0" distB="0" distL="114300" distR="114300" simplePos="0" relativeHeight="251659264" behindDoc="0" locked="0" layoutInCell="1" allowOverlap="1" wp14:anchorId="56AF51D5" wp14:editId="1EE3428E">
                      <wp:simplePos x="0" y="0"/>
                      <wp:positionH relativeFrom="column">
                        <wp:posOffset>43180</wp:posOffset>
                      </wp:positionH>
                      <wp:positionV relativeFrom="paragraph">
                        <wp:posOffset>652145</wp:posOffset>
                      </wp:positionV>
                      <wp:extent cx="281940" cy="310515"/>
                      <wp:effectExtent l="4762" t="14288" r="46673" b="46672"/>
                      <wp:wrapNone/>
                      <wp:docPr id="5" name="下矢印 4"/>
                      <wp:cNvGraphicFramePr/>
                      <a:graphic xmlns:a="http://schemas.openxmlformats.org/drawingml/2006/main">
                        <a:graphicData uri="http://schemas.microsoft.com/office/word/2010/wordprocessingShape">
                          <wps:wsp>
                            <wps:cNvSpPr/>
                            <wps:spPr>
                              <a:xfrm rot="16200000">
                                <a:off x="0" y="0"/>
                                <a:ext cx="281940" cy="310515"/>
                              </a:xfrm>
                              <a:prstGeom prst="downArrow">
                                <a:avLst/>
                              </a:prstGeom>
                              <a:ln w="12700">
                                <a:solidFill>
                                  <a:schemeClr val="tx2">
                                    <a:lumMod val="75000"/>
                                  </a:schemeClr>
                                </a:solidFill>
                              </a:ln>
                            </wps:spPr>
                            <wps:style>
                              <a:lnRef idx="2">
                                <a:schemeClr val="accent6"/>
                              </a:lnRef>
                              <a:fillRef idx="1">
                                <a:schemeClr val="lt1"/>
                              </a:fillRef>
                              <a:effectRef idx="0">
                                <a:schemeClr val="accent6"/>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3.4pt;margin-top:51.35pt;width:22.2pt;height:24.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" adj="11794" fillcolor="white [3201]" strokecolor="#17365d [2415]" strokeweight="1pt"/>
                  </w:pict>
                </mc:Fallback>
              </mc:AlternateContent>
            </w:r>
          </w:p>
        </w:tc>
        <w:tc>
          <w:tcPr>
            <w:tcW w:w="5441" w:type="dxa"/>
            <w:tcBorders>
              <w:top w:val="single" w:sz="12" w:space="0" w:color="auto"/>
              <w:left w:val="nil"/>
              <w:bottom w:val="single" w:sz="12" w:space="0" w:color="auto"/>
            </w:tcBorders>
          </w:tcPr>
          <w:p w:rsidR="00B82FF8" w:rsidRDefault="00B82FF8" w:rsidP="00C027FA">
            <w:pPr>
              <w:jc w:val="center"/>
            </w:pPr>
            <w:r>
              <w:rPr>
                <w:rFonts w:hint="eastAsia"/>
              </w:rPr>
              <w:t>推計（＊）</w:t>
            </w:r>
          </w:p>
        </w:tc>
      </w:tr>
      <w:tr w:rsidR="00B82FF8" w:rsidRPr="001D031B" w:rsidTr="00241C0E">
        <w:trPr>
          <w:trHeight w:val="426"/>
        </w:trPr>
        <w:tc>
          <w:tcPr>
            <w:tcW w:w="1276" w:type="dxa"/>
            <w:tcBorders>
              <w:top w:val="single" w:sz="12" w:space="0" w:color="auto"/>
            </w:tcBorders>
            <w:vAlign w:val="center"/>
          </w:tcPr>
          <w:p w:rsidR="00B82FF8" w:rsidRPr="001D031B" w:rsidRDefault="00B82FF8" w:rsidP="008A6490">
            <w:pPr>
              <w:jc w:val="center"/>
              <w:rPr>
                <w:rFonts w:ascii="Bookman Old Style" w:hAnsi="Bookman Old Style"/>
                <w:szCs w:val="21"/>
              </w:rPr>
            </w:pPr>
            <w:r w:rsidRPr="001D031B">
              <w:rPr>
                <w:rFonts w:ascii="Bookman Old Style" w:hAnsi="Bookman Old Style" w:hint="eastAsia"/>
                <w:szCs w:val="21"/>
              </w:rPr>
              <w:t>H24</w:t>
            </w:r>
          </w:p>
        </w:tc>
        <w:tc>
          <w:tcPr>
            <w:tcW w:w="1134" w:type="dxa"/>
            <w:tcBorders>
              <w:top w:val="single" w:sz="12" w:space="0" w:color="auto"/>
            </w:tcBorders>
            <w:vAlign w:val="center"/>
          </w:tcPr>
          <w:p w:rsidR="00B82FF8" w:rsidRPr="001D031B" w:rsidRDefault="00B82FF8" w:rsidP="001D031B">
            <w:pPr>
              <w:jc w:val="center"/>
              <w:rPr>
                <w:rFonts w:ascii="Bookman Old Style" w:hAnsi="Bookman Old Style"/>
                <w:szCs w:val="21"/>
              </w:rPr>
            </w:pPr>
            <w:r>
              <w:rPr>
                <w:rFonts w:ascii="Bookman Old Style" w:hAnsi="Bookman Old Style" w:hint="eastAsia"/>
                <w:szCs w:val="21"/>
              </w:rPr>
              <w:t>745</w:t>
            </w:r>
          </w:p>
        </w:tc>
        <w:tc>
          <w:tcPr>
            <w:tcW w:w="1134" w:type="dxa"/>
            <w:tcBorders>
              <w:top w:val="single" w:sz="12" w:space="0" w:color="auto"/>
              <w:right w:val="nil"/>
            </w:tcBorders>
            <w:vAlign w:val="center"/>
          </w:tcPr>
          <w:p w:rsidR="00B82FF8" w:rsidRPr="001D031B" w:rsidRDefault="00B82FF8" w:rsidP="001D031B">
            <w:pPr>
              <w:jc w:val="center"/>
              <w:rPr>
                <w:rFonts w:ascii="Bookman Old Style" w:hAnsi="Bookman Old Style"/>
                <w:szCs w:val="21"/>
              </w:rPr>
            </w:pPr>
            <w:r>
              <w:rPr>
                <w:rFonts w:ascii="Bookman Old Style" w:hAnsi="Bookman Old Style" w:hint="eastAsia"/>
                <w:szCs w:val="21"/>
              </w:rPr>
              <w:t>499</w:t>
            </w:r>
          </w:p>
        </w:tc>
        <w:tc>
          <w:tcPr>
            <w:tcW w:w="709" w:type="dxa"/>
            <w:vMerge/>
            <w:tcBorders>
              <w:left w:val="nil"/>
              <w:right w:val="nil"/>
            </w:tcBorders>
          </w:tcPr>
          <w:p w:rsidR="00B82FF8" w:rsidRPr="001D031B" w:rsidRDefault="00B82FF8" w:rsidP="001D031B">
            <w:pPr>
              <w:rPr>
                <w:rFonts w:ascii="Bookman Old Style" w:hAnsi="Bookman Old Style"/>
                <w:szCs w:val="21"/>
              </w:rPr>
            </w:pPr>
          </w:p>
        </w:tc>
        <w:tc>
          <w:tcPr>
            <w:tcW w:w="5441" w:type="dxa"/>
            <w:vMerge w:val="restart"/>
            <w:tcBorders>
              <w:top w:val="single" w:sz="12" w:space="0" w:color="auto"/>
              <w:left w:val="nil"/>
            </w:tcBorders>
          </w:tcPr>
          <w:p w:rsidR="00B82FF8" w:rsidRDefault="00B82FF8" w:rsidP="00F761C5">
            <w:pPr>
              <w:rPr>
                <w:rFonts w:ascii="Bookman Old Style" w:hAnsi="Bookman Old Style"/>
                <w:szCs w:val="21"/>
              </w:rPr>
            </w:pPr>
            <w:r>
              <w:rPr>
                <w:rFonts w:hint="eastAsia"/>
              </w:rPr>
              <w:t>過</w:t>
            </w:r>
            <w:r w:rsidRPr="00EE4D9D">
              <w:rPr>
                <w:rFonts w:ascii="Bookman Old Style" w:hAnsi="Bookman Old Style"/>
              </w:rPr>
              <w:t>去</w:t>
            </w:r>
            <w:r w:rsidRPr="00EE4D9D">
              <w:rPr>
                <w:rFonts w:ascii="Bookman Old Style" w:hAnsi="Bookman Old Style"/>
              </w:rPr>
              <w:t>5</w:t>
            </w:r>
            <w:r w:rsidRPr="00EE4D9D">
              <w:rPr>
                <w:rFonts w:ascii="Bookman Old Style" w:hAnsi="Bookman Old Style"/>
              </w:rPr>
              <w:t>年</w:t>
            </w:r>
            <w:r>
              <w:rPr>
                <w:rFonts w:hint="eastAsia"/>
              </w:rPr>
              <w:t>間の平均</w:t>
            </w:r>
            <w:r>
              <w:rPr>
                <w:rFonts w:ascii="Bookman Old Style" w:hAnsi="Bookman Old Style" w:hint="eastAsia"/>
                <w:szCs w:val="21"/>
              </w:rPr>
              <w:t xml:space="preserve">出動件数　　</w:t>
            </w:r>
            <w:r>
              <w:rPr>
                <w:rFonts w:ascii="Bookman Old Style" w:hAnsi="Bookman Old Style" w:hint="eastAsia"/>
                <w:szCs w:val="21"/>
              </w:rPr>
              <w:t>658</w:t>
            </w:r>
            <w:r>
              <w:rPr>
                <w:rFonts w:ascii="Bookman Old Style" w:hAnsi="Bookman Old Style" w:hint="eastAsia"/>
                <w:szCs w:val="21"/>
              </w:rPr>
              <w:t>人</w:t>
            </w:r>
          </w:p>
          <w:p w:rsidR="00B82FF8" w:rsidRDefault="00B82FF8" w:rsidP="00F761C5">
            <w:pPr>
              <w:rPr>
                <w:rFonts w:ascii="Bookman Old Style" w:hAnsi="Bookman Old Style"/>
                <w:szCs w:val="21"/>
              </w:rPr>
            </w:pPr>
            <w:r>
              <w:rPr>
                <w:rFonts w:hint="eastAsia"/>
              </w:rPr>
              <w:t>過</w:t>
            </w:r>
            <w:r w:rsidRPr="00EE4D9D">
              <w:rPr>
                <w:rFonts w:ascii="Bookman Old Style" w:hAnsi="Bookman Old Style"/>
              </w:rPr>
              <w:t>去</w:t>
            </w:r>
            <w:r w:rsidRPr="00EE4D9D">
              <w:rPr>
                <w:rFonts w:ascii="Bookman Old Style" w:hAnsi="Bookman Old Style"/>
              </w:rPr>
              <w:t>5</w:t>
            </w:r>
            <w:r w:rsidRPr="00EE4D9D">
              <w:rPr>
                <w:rFonts w:ascii="Bookman Old Style" w:hAnsi="Bookman Old Style"/>
              </w:rPr>
              <w:t>年</w:t>
            </w:r>
            <w:r>
              <w:rPr>
                <w:rFonts w:hint="eastAsia"/>
              </w:rPr>
              <w:t>間の</w:t>
            </w:r>
            <w:r w:rsidR="00354D3F">
              <w:rPr>
                <w:rFonts w:hint="eastAsia"/>
              </w:rPr>
              <w:t>平均</w:t>
            </w:r>
            <w:r>
              <w:rPr>
                <w:rFonts w:ascii="Bookman Old Style" w:hAnsi="Bookman Old Style" w:hint="eastAsia"/>
                <w:szCs w:val="21"/>
              </w:rPr>
              <w:t xml:space="preserve">搬送人員　　</w:t>
            </w:r>
            <w:r>
              <w:rPr>
                <w:rFonts w:ascii="Bookman Old Style" w:hAnsi="Bookman Old Style" w:hint="eastAsia"/>
                <w:szCs w:val="21"/>
              </w:rPr>
              <w:t>434</w:t>
            </w:r>
            <w:r>
              <w:rPr>
                <w:rFonts w:ascii="Bookman Old Style" w:hAnsi="Bookman Old Style" w:hint="eastAsia"/>
                <w:szCs w:val="21"/>
              </w:rPr>
              <w:t>人</w:t>
            </w:r>
          </w:p>
          <w:p w:rsidR="00B82FF8" w:rsidRDefault="00B82FF8" w:rsidP="00F761C5">
            <w:pPr>
              <w:ind w:left="225"/>
              <w:rPr>
                <w:rFonts w:ascii="Bookman Old Style" w:hAnsi="Bookman Old Style"/>
                <w:szCs w:val="21"/>
              </w:rPr>
            </w:pPr>
            <w:r>
              <w:rPr>
                <w:rFonts w:ascii="Bookman Old Style" w:hAnsi="Bookman Old Style" w:hint="eastAsia"/>
                <w:szCs w:val="21"/>
              </w:rPr>
              <w:t>（搬送人員内訳）</w:t>
            </w:r>
          </w:p>
          <w:p w:rsidR="00B82FF8" w:rsidRDefault="00B82FF8" w:rsidP="00F761C5">
            <w:pPr>
              <w:ind w:firstLineChars="200" w:firstLine="420"/>
              <w:rPr>
                <w:rFonts w:ascii="Bookman Old Style" w:hAnsi="Bookman Old Style"/>
                <w:szCs w:val="21"/>
              </w:rPr>
            </w:pPr>
            <w:r>
              <w:rPr>
                <w:rFonts w:ascii="Bookman Old Style" w:hAnsi="Bookman Old Style" w:hint="eastAsia"/>
                <w:szCs w:val="21"/>
              </w:rPr>
              <w:t xml:space="preserve">死亡　　　</w:t>
            </w:r>
            <w:r>
              <w:rPr>
                <w:rFonts w:ascii="Bookman Old Style" w:hAnsi="Bookman Old Style" w:hint="eastAsia"/>
                <w:szCs w:val="21"/>
              </w:rPr>
              <w:t>3</w:t>
            </w:r>
            <w:r w:rsidR="007057C3">
              <w:rPr>
                <w:rFonts w:ascii="Bookman Old Style" w:hAnsi="Bookman Old Style" w:hint="eastAsia"/>
                <w:szCs w:val="21"/>
              </w:rPr>
              <w:t>4.72</w:t>
            </w:r>
            <w:r>
              <w:rPr>
                <w:rFonts w:ascii="Bookman Old Style" w:hAnsi="Bookman Old Style" w:hint="eastAsia"/>
                <w:szCs w:val="21"/>
              </w:rPr>
              <w:t>人　　（</w:t>
            </w:r>
            <w:r>
              <w:rPr>
                <w:rFonts w:ascii="Bookman Old Style" w:hAnsi="Bookman Old Style" w:hint="eastAsia"/>
                <w:szCs w:val="21"/>
              </w:rPr>
              <w:t>434</w:t>
            </w:r>
            <w:r>
              <w:rPr>
                <w:rFonts w:ascii="Bookman Old Style" w:hAnsi="Bookman Old Style" w:hint="eastAsia"/>
                <w:szCs w:val="21"/>
              </w:rPr>
              <w:t>人×</w:t>
            </w:r>
            <w:r>
              <w:rPr>
                <w:rFonts w:ascii="Bookman Old Style" w:hAnsi="Bookman Old Style" w:hint="eastAsia"/>
                <w:szCs w:val="21"/>
              </w:rPr>
              <w:t>8</w:t>
            </w:r>
            <w:r>
              <w:rPr>
                <w:rFonts w:ascii="Bookman Old Style" w:hAnsi="Bookman Old Style" w:hint="eastAsia"/>
                <w:szCs w:val="21"/>
              </w:rPr>
              <w:t>％）</w:t>
            </w:r>
          </w:p>
          <w:p w:rsidR="00B82FF8" w:rsidRPr="00EE4D9D" w:rsidRDefault="00B82FF8" w:rsidP="00F761C5">
            <w:pPr>
              <w:spacing w:line="260" w:lineRule="exact"/>
              <w:ind w:left="12" w:firstLineChars="200" w:firstLine="420"/>
              <w:rPr>
                <w:rFonts w:ascii="メイリオ" w:eastAsia="メイリオ" w:hAnsi="メイリオ" w:cs="メイリオ"/>
                <w:b/>
                <w:szCs w:val="21"/>
              </w:rPr>
            </w:pPr>
            <w:r w:rsidRPr="00EE4D9D">
              <w:rPr>
                <w:rFonts w:ascii="メイリオ" w:eastAsia="メイリオ" w:hAnsi="メイリオ" w:cs="メイリオ" w:hint="eastAsia"/>
                <w:b/>
                <w:szCs w:val="21"/>
              </w:rPr>
              <w:t>入院加療　27</w:t>
            </w:r>
            <w:r w:rsidR="007057C3">
              <w:rPr>
                <w:rFonts w:ascii="メイリオ" w:eastAsia="メイリオ" w:hAnsi="メイリオ" w:cs="メイリオ" w:hint="eastAsia"/>
                <w:b/>
                <w:szCs w:val="21"/>
              </w:rPr>
              <w:t>7.76</w:t>
            </w:r>
            <w:r w:rsidRPr="00EE4D9D">
              <w:rPr>
                <w:rFonts w:ascii="メイリオ" w:eastAsia="メイリオ" w:hAnsi="メイリオ" w:cs="メイリオ" w:hint="eastAsia"/>
                <w:b/>
                <w:szCs w:val="21"/>
              </w:rPr>
              <w:t>人</w:t>
            </w:r>
            <w:r>
              <w:rPr>
                <w:rFonts w:ascii="メイリオ" w:eastAsia="メイリオ" w:hAnsi="メイリオ" w:cs="メイリオ" w:hint="eastAsia"/>
                <w:b/>
                <w:szCs w:val="21"/>
              </w:rPr>
              <w:t xml:space="preserve">　（434人×64％）</w:t>
            </w:r>
          </w:p>
          <w:p w:rsidR="00B82FF8" w:rsidRPr="001D031B" w:rsidRDefault="00B82FF8" w:rsidP="00F761C5">
            <w:pPr>
              <w:ind w:left="12" w:firstLineChars="200" w:firstLine="420"/>
              <w:rPr>
                <w:rFonts w:ascii="Bookman Old Style" w:hAnsi="Bookman Old Style"/>
                <w:szCs w:val="21"/>
              </w:rPr>
            </w:pPr>
            <w:r>
              <w:rPr>
                <w:rFonts w:ascii="Bookman Old Style" w:hAnsi="Bookman Old Style" w:hint="eastAsia"/>
                <w:szCs w:val="21"/>
              </w:rPr>
              <w:t xml:space="preserve">入院不要　</w:t>
            </w:r>
            <w:r w:rsidR="007057C3">
              <w:rPr>
                <w:rFonts w:ascii="Bookman Old Style" w:hAnsi="Bookman Old Style" w:hint="eastAsia"/>
                <w:szCs w:val="21"/>
              </w:rPr>
              <w:t>121.52</w:t>
            </w:r>
            <w:r>
              <w:rPr>
                <w:rFonts w:ascii="Bookman Old Style" w:hAnsi="Bookman Old Style" w:hint="eastAsia"/>
                <w:szCs w:val="21"/>
              </w:rPr>
              <w:t>人　（</w:t>
            </w:r>
            <w:r>
              <w:rPr>
                <w:rFonts w:ascii="Bookman Old Style" w:hAnsi="Bookman Old Style" w:hint="eastAsia"/>
                <w:szCs w:val="21"/>
              </w:rPr>
              <w:t>434</w:t>
            </w:r>
            <w:r>
              <w:rPr>
                <w:rFonts w:ascii="Bookman Old Style" w:hAnsi="Bookman Old Style" w:hint="eastAsia"/>
                <w:szCs w:val="21"/>
              </w:rPr>
              <w:t>人×</w:t>
            </w:r>
            <w:r>
              <w:rPr>
                <w:rFonts w:ascii="Bookman Old Style" w:hAnsi="Bookman Old Style" w:hint="eastAsia"/>
                <w:szCs w:val="21"/>
              </w:rPr>
              <w:t>28</w:t>
            </w:r>
            <w:r>
              <w:rPr>
                <w:rFonts w:ascii="Bookman Old Style" w:hAnsi="Bookman Old Style" w:hint="eastAsia"/>
                <w:szCs w:val="21"/>
              </w:rPr>
              <w:t>％）</w:t>
            </w:r>
          </w:p>
        </w:tc>
      </w:tr>
      <w:tr w:rsidR="00B82FF8" w:rsidRPr="001D031B" w:rsidTr="00F761C5">
        <w:trPr>
          <w:trHeight w:val="409"/>
        </w:trPr>
        <w:tc>
          <w:tcPr>
            <w:tcW w:w="1276" w:type="dxa"/>
            <w:vAlign w:val="center"/>
          </w:tcPr>
          <w:p w:rsidR="00B82FF8" w:rsidRPr="001D031B" w:rsidRDefault="00B82FF8" w:rsidP="008A6490">
            <w:pPr>
              <w:jc w:val="center"/>
              <w:rPr>
                <w:rFonts w:ascii="Bookman Old Style" w:hAnsi="Bookman Old Style"/>
                <w:szCs w:val="21"/>
              </w:rPr>
            </w:pPr>
            <w:r w:rsidRPr="001D031B">
              <w:rPr>
                <w:rFonts w:ascii="Bookman Old Style" w:hAnsi="Bookman Old Style" w:hint="eastAsia"/>
                <w:szCs w:val="21"/>
              </w:rPr>
              <w:t>H</w:t>
            </w:r>
            <w:r w:rsidRPr="001D031B">
              <w:rPr>
                <w:rFonts w:ascii="Bookman Old Style" w:hAnsi="Bookman Old Style"/>
                <w:szCs w:val="21"/>
              </w:rPr>
              <w:t>2</w:t>
            </w:r>
            <w:r w:rsidRPr="001D031B">
              <w:rPr>
                <w:rFonts w:ascii="Bookman Old Style" w:hAnsi="Bookman Old Style" w:hint="eastAsia"/>
                <w:szCs w:val="21"/>
              </w:rPr>
              <w:t>5</w:t>
            </w:r>
          </w:p>
        </w:tc>
        <w:tc>
          <w:tcPr>
            <w:tcW w:w="1134" w:type="dxa"/>
            <w:vAlign w:val="center"/>
          </w:tcPr>
          <w:p w:rsidR="00B82FF8" w:rsidRPr="001D031B" w:rsidRDefault="00B82FF8" w:rsidP="001D031B">
            <w:pPr>
              <w:jc w:val="center"/>
              <w:rPr>
                <w:rFonts w:ascii="Bookman Old Style" w:hAnsi="Bookman Old Style"/>
                <w:szCs w:val="21"/>
              </w:rPr>
            </w:pPr>
            <w:r>
              <w:rPr>
                <w:rFonts w:ascii="Bookman Old Style" w:hAnsi="Bookman Old Style" w:hint="eastAsia"/>
                <w:szCs w:val="21"/>
              </w:rPr>
              <w:t>680</w:t>
            </w:r>
          </w:p>
        </w:tc>
        <w:tc>
          <w:tcPr>
            <w:tcW w:w="1134" w:type="dxa"/>
            <w:tcBorders>
              <w:right w:val="nil"/>
            </w:tcBorders>
            <w:vAlign w:val="center"/>
          </w:tcPr>
          <w:p w:rsidR="00B82FF8" w:rsidRPr="001D031B" w:rsidRDefault="00B82FF8" w:rsidP="001D031B">
            <w:pPr>
              <w:jc w:val="center"/>
              <w:rPr>
                <w:rFonts w:ascii="Bookman Old Style" w:hAnsi="Bookman Old Style"/>
                <w:szCs w:val="21"/>
              </w:rPr>
            </w:pPr>
            <w:r>
              <w:rPr>
                <w:rFonts w:ascii="Bookman Old Style" w:hAnsi="Bookman Old Style" w:hint="eastAsia"/>
                <w:szCs w:val="21"/>
              </w:rPr>
              <w:t>459</w:t>
            </w:r>
          </w:p>
        </w:tc>
        <w:tc>
          <w:tcPr>
            <w:tcW w:w="709" w:type="dxa"/>
            <w:vMerge/>
            <w:tcBorders>
              <w:left w:val="nil"/>
              <w:right w:val="nil"/>
            </w:tcBorders>
          </w:tcPr>
          <w:p w:rsidR="00B82FF8" w:rsidRPr="001D031B" w:rsidRDefault="00B82FF8" w:rsidP="00C027FA">
            <w:pPr>
              <w:jc w:val="center"/>
              <w:rPr>
                <w:rFonts w:ascii="Bookman Old Style" w:hAnsi="Bookman Old Style"/>
                <w:szCs w:val="21"/>
              </w:rPr>
            </w:pPr>
          </w:p>
        </w:tc>
        <w:tc>
          <w:tcPr>
            <w:tcW w:w="5441" w:type="dxa"/>
            <w:vMerge/>
            <w:tcBorders>
              <w:left w:val="nil"/>
            </w:tcBorders>
          </w:tcPr>
          <w:p w:rsidR="00B82FF8" w:rsidRPr="001D031B" w:rsidRDefault="00B82FF8" w:rsidP="00C027FA">
            <w:pPr>
              <w:jc w:val="center"/>
              <w:rPr>
                <w:rFonts w:ascii="Bookman Old Style" w:hAnsi="Bookman Old Style"/>
                <w:szCs w:val="21"/>
              </w:rPr>
            </w:pPr>
          </w:p>
        </w:tc>
      </w:tr>
      <w:tr w:rsidR="00B82FF8" w:rsidRPr="001D031B" w:rsidTr="00F761C5">
        <w:trPr>
          <w:trHeight w:val="414"/>
        </w:trPr>
        <w:tc>
          <w:tcPr>
            <w:tcW w:w="1276" w:type="dxa"/>
            <w:vAlign w:val="center"/>
          </w:tcPr>
          <w:p w:rsidR="00B82FF8" w:rsidRPr="001D031B" w:rsidRDefault="00B82FF8" w:rsidP="008A6490">
            <w:pPr>
              <w:jc w:val="center"/>
              <w:rPr>
                <w:rFonts w:ascii="Bookman Old Style" w:hAnsi="Bookman Old Style"/>
                <w:szCs w:val="21"/>
              </w:rPr>
            </w:pPr>
            <w:r w:rsidRPr="001D031B">
              <w:rPr>
                <w:rFonts w:ascii="Bookman Old Style" w:hAnsi="Bookman Old Style" w:hint="eastAsia"/>
                <w:szCs w:val="21"/>
              </w:rPr>
              <w:t>H26</w:t>
            </w:r>
          </w:p>
        </w:tc>
        <w:tc>
          <w:tcPr>
            <w:tcW w:w="1134" w:type="dxa"/>
            <w:vAlign w:val="center"/>
          </w:tcPr>
          <w:p w:rsidR="00B82FF8" w:rsidRPr="001D031B" w:rsidRDefault="00B82FF8" w:rsidP="001D031B">
            <w:pPr>
              <w:jc w:val="center"/>
              <w:rPr>
                <w:rFonts w:ascii="Bookman Old Style" w:hAnsi="Bookman Old Style"/>
                <w:szCs w:val="21"/>
              </w:rPr>
            </w:pPr>
            <w:r>
              <w:rPr>
                <w:rFonts w:ascii="Bookman Old Style" w:hAnsi="Bookman Old Style" w:hint="eastAsia"/>
                <w:szCs w:val="21"/>
              </w:rPr>
              <w:t>696</w:t>
            </w:r>
          </w:p>
        </w:tc>
        <w:tc>
          <w:tcPr>
            <w:tcW w:w="1134" w:type="dxa"/>
            <w:tcBorders>
              <w:right w:val="nil"/>
            </w:tcBorders>
            <w:vAlign w:val="center"/>
          </w:tcPr>
          <w:p w:rsidR="00B82FF8" w:rsidRPr="001D031B" w:rsidRDefault="00B82FF8" w:rsidP="001D031B">
            <w:pPr>
              <w:jc w:val="center"/>
              <w:rPr>
                <w:rFonts w:ascii="Bookman Old Style" w:hAnsi="Bookman Old Style"/>
                <w:szCs w:val="21"/>
              </w:rPr>
            </w:pPr>
            <w:r>
              <w:rPr>
                <w:rFonts w:ascii="Bookman Old Style" w:hAnsi="Bookman Old Style" w:hint="eastAsia"/>
                <w:szCs w:val="21"/>
              </w:rPr>
              <w:t>448</w:t>
            </w:r>
          </w:p>
        </w:tc>
        <w:tc>
          <w:tcPr>
            <w:tcW w:w="709" w:type="dxa"/>
            <w:vMerge/>
            <w:tcBorders>
              <w:left w:val="nil"/>
              <w:right w:val="nil"/>
            </w:tcBorders>
          </w:tcPr>
          <w:p w:rsidR="00B82FF8" w:rsidRPr="001D031B" w:rsidRDefault="00B82FF8" w:rsidP="00C027FA">
            <w:pPr>
              <w:jc w:val="center"/>
              <w:rPr>
                <w:rFonts w:ascii="Bookman Old Style" w:hAnsi="Bookman Old Style"/>
                <w:szCs w:val="21"/>
              </w:rPr>
            </w:pPr>
          </w:p>
        </w:tc>
        <w:tc>
          <w:tcPr>
            <w:tcW w:w="5441" w:type="dxa"/>
            <w:vMerge/>
            <w:tcBorders>
              <w:left w:val="nil"/>
            </w:tcBorders>
          </w:tcPr>
          <w:p w:rsidR="00B82FF8" w:rsidRPr="001D031B" w:rsidRDefault="00B82FF8" w:rsidP="00C027FA">
            <w:pPr>
              <w:jc w:val="center"/>
              <w:rPr>
                <w:rFonts w:ascii="Bookman Old Style" w:hAnsi="Bookman Old Style"/>
                <w:szCs w:val="21"/>
              </w:rPr>
            </w:pPr>
          </w:p>
        </w:tc>
      </w:tr>
      <w:tr w:rsidR="00B82FF8" w:rsidRPr="001D031B" w:rsidTr="00F761C5">
        <w:trPr>
          <w:trHeight w:val="420"/>
        </w:trPr>
        <w:tc>
          <w:tcPr>
            <w:tcW w:w="1276" w:type="dxa"/>
            <w:tcBorders>
              <w:bottom w:val="single" w:sz="4" w:space="0" w:color="auto"/>
            </w:tcBorders>
            <w:vAlign w:val="center"/>
          </w:tcPr>
          <w:p w:rsidR="00B82FF8" w:rsidRPr="001D031B" w:rsidRDefault="00B82FF8" w:rsidP="008A6490">
            <w:pPr>
              <w:jc w:val="center"/>
              <w:rPr>
                <w:rFonts w:ascii="Bookman Old Style" w:hAnsi="Bookman Old Style"/>
                <w:szCs w:val="21"/>
              </w:rPr>
            </w:pPr>
            <w:r w:rsidRPr="001D031B">
              <w:rPr>
                <w:rFonts w:ascii="Bookman Old Style" w:hAnsi="Bookman Old Style" w:hint="eastAsia"/>
                <w:szCs w:val="21"/>
              </w:rPr>
              <w:t>H27</w:t>
            </w:r>
          </w:p>
        </w:tc>
        <w:tc>
          <w:tcPr>
            <w:tcW w:w="1134" w:type="dxa"/>
            <w:tcBorders>
              <w:bottom w:val="single" w:sz="4" w:space="0" w:color="auto"/>
            </w:tcBorders>
            <w:vAlign w:val="center"/>
          </w:tcPr>
          <w:p w:rsidR="00B82FF8" w:rsidRPr="001D031B" w:rsidRDefault="00B82FF8" w:rsidP="001D031B">
            <w:pPr>
              <w:jc w:val="center"/>
              <w:rPr>
                <w:rFonts w:ascii="Bookman Old Style" w:hAnsi="Bookman Old Style"/>
                <w:szCs w:val="21"/>
              </w:rPr>
            </w:pPr>
            <w:r>
              <w:rPr>
                <w:rFonts w:ascii="Bookman Old Style" w:hAnsi="Bookman Old Style" w:hint="eastAsia"/>
                <w:szCs w:val="21"/>
              </w:rPr>
              <w:t>630</w:t>
            </w:r>
          </w:p>
        </w:tc>
        <w:tc>
          <w:tcPr>
            <w:tcW w:w="1134" w:type="dxa"/>
            <w:tcBorders>
              <w:bottom w:val="single" w:sz="4" w:space="0" w:color="auto"/>
              <w:right w:val="nil"/>
            </w:tcBorders>
            <w:vAlign w:val="center"/>
          </w:tcPr>
          <w:p w:rsidR="00B82FF8" w:rsidRPr="001D031B" w:rsidRDefault="00B82FF8" w:rsidP="001D031B">
            <w:pPr>
              <w:jc w:val="center"/>
              <w:rPr>
                <w:rFonts w:ascii="Bookman Old Style" w:hAnsi="Bookman Old Style"/>
                <w:szCs w:val="21"/>
              </w:rPr>
            </w:pPr>
            <w:r>
              <w:rPr>
                <w:rFonts w:ascii="Bookman Old Style" w:hAnsi="Bookman Old Style" w:hint="eastAsia"/>
                <w:szCs w:val="21"/>
              </w:rPr>
              <w:t>402</w:t>
            </w:r>
          </w:p>
        </w:tc>
        <w:tc>
          <w:tcPr>
            <w:tcW w:w="709" w:type="dxa"/>
            <w:vMerge/>
            <w:tcBorders>
              <w:left w:val="nil"/>
              <w:right w:val="nil"/>
            </w:tcBorders>
          </w:tcPr>
          <w:p w:rsidR="00B82FF8" w:rsidRPr="001D031B" w:rsidRDefault="00B82FF8" w:rsidP="00C027FA">
            <w:pPr>
              <w:jc w:val="center"/>
              <w:rPr>
                <w:rFonts w:ascii="Bookman Old Style" w:hAnsi="Bookman Old Style"/>
                <w:szCs w:val="21"/>
              </w:rPr>
            </w:pPr>
          </w:p>
        </w:tc>
        <w:tc>
          <w:tcPr>
            <w:tcW w:w="5441" w:type="dxa"/>
            <w:vMerge/>
            <w:tcBorders>
              <w:left w:val="nil"/>
            </w:tcBorders>
          </w:tcPr>
          <w:p w:rsidR="00B82FF8" w:rsidRPr="001D031B" w:rsidRDefault="00B82FF8" w:rsidP="00C027FA">
            <w:pPr>
              <w:jc w:val="center"/>
              <w:rPr>
                <w:rFonts w:ascii="Bookman Old Style" w:hAnsi="Bookman Old Style"/>
                <w:szCs w:val="21"/>
              </w:rPr>
            </w:pPr>
          </w:p>
        </w:tc>
      </w:tr>
      <w:tr w:rsidR="00B82FF8" w:rsidRPr="001D031B" w:rsidTr="00F761C5">
        <w:trPr>
          <w:trHeight w:val="413"/>
        </w:trPr>
        <w:tc>
          <w:tcPr>
            <w:tcW w:w="1276" w:type="dxa"/>
            <w:tcBorders>
              <w:bottom w:val="single" w:sz="12" w:space="0" w:color="auto"/>
            </w:tcBorders>
            <w:vAlign w:val="center"/>
          </w:tcPr>
          <w:p w:rsidR="00B82FF8" w:rsidRPr="001D031B" w:rsidRDefault="00B82FF8" w:rsidP="008A6490">
            <w:pPr>
              <w:jc w:val="center"/>
              <w:rPr>
                <w:rFonts w:ascii="Bookman Old Style" w:hAnsi="Bookman Old Style"/>
                <w:szCs w:val="21"/>
              </w:rPr>
            </w:pPr>
            <w:r w:rsidRPr="001D031B">
              <w:rPr>
                <w:rFonts w:ascii="Bookman Old Style" w:hAnsi="Bookman Old Style" w:hint="eastAsia"/>
                <w:szCs w:val="21"/>
              </w:rPr>
              <w:t>H28</w:t>
            </w:r>
          </w:p>
        </w:tc>
        <w:tc>
          <w:tcPr>
            <w:tcW w:w="1134" w:type="dxa"/>
            <w:tcBorders>
              <w:bottom w:val="single" w:sz="12" w:space="0" w:color="auto"/>
            </w:tcBorders>
            <w:vAlign w:val="center"/>
          </w:tcPr>
          <w:p w:rsidR="00B82FF8" w:rsidRPr="001D031B" w:rsidRDefault="00B82FF8" w:rsidP="008A6490">
            <w:pPr>
              <w:jc w:val="center"/>
              <w:rPr>
                <w:rFonts w:ascii="Bookman Old Style" w:hAnsi="Bookman Old Style"/>
                <w:szCs w:val="21"/>
              </w:rPr>
            </w:pPr>
            <w:r>
              <w:rPr>
                <w:rFonts w:ascii="Bookman Old Style" w:hAnsi="Bookman Old Style" w:hint="eastAsia"/>
                <w:szCs w:val="21"/>
              </w:rPr>
              <w:t>540</w:t>
            </w:r>
          </w:p>
        </w:tc>
        <w:tc>
          <w:tcPr>
            <w:tcW w:w="1134" w:type="dxa"/>
            <w:tcBorders>
              <w:bottom w:val="single" w:sz="12" w:space="0" w:color="auto"/>
              <w:right w:val="nil"/>
            </w:tcBorders>
            <w:vAlign w:val="center"/>
          </w:tcPr>
          <w:p w:rsidR="00B82FF8" w:rsidRPr="001D031B" w:rsidRDefault="00B82FF8" w:rsidP="008A6490">
            <w:pPr>
              <w:jc w:val="center"/>
              <w:rPr>
                <w:rFonts w:ascii="Bookman Old Style" w:hAnsi="Bookman Old Style"/>
                <w:szCs w:val="21"/>
              </w:rPr>
            </w:pPr>
            <w:r>
              <w:rPr>
                <w:rFonts w:ascii="Bookman Old Style" w:hAnsi="Bookman Old Style" w:hint="eastAsia"/>
                <w:szCs w:val="21"/>
              </w:rPr>
              <w:t>360</w:t>
            </w:r>
          </w:p>
        </w:tc>
        <w:tc>
          <w:tcPr>
            <w:tcW w:w="709" w:type="dxa"/>
            <w:vMerge/>
            <w:tcBorders>
              <w:left w:val="nil"/>
              <w:bottom w:val="nil"/>
              <w:right w:val="nil"/>
            </w:tcBorders>
          </w:tcPr>
          <w:p w:rsidR="00B82FF8" w:rsidRPr="001D031B" w:rsidRDefault="00B82FF8" w:rsidP="00C027FA">
            <w:pPr>
              <w:jc w:val="center"/>
              <w:rPr>
                <w:rFonts w:ascii="Bookman Old Style" w:hAnsi="Bookman Old Style"/>
                <w:szCs w:val="21"/>
              </w:rPr>
            </w:pPr>
          </w:p>
        </w:tc>
        <w:tc>
          <w:tcPr>
            <w:tcW w:w="5441" w:type="dxa"/>
            <w:vMerge/>
            <w:tcBorders>
              <w:left w:val="nil"/>
              <w:bottom w:val="single" w:sz="12" w:space="0" w:color="auto"/>
            </w:tcBorders>
          </w:tcPr>
          <w:p w:rsidR="00B82FF8" w:rsidRPr="001D031B" w:rsidRDefault="00B82FF8" w:rsidP="00C027FA">
            <w:pPr>
              <w:jc w:val="center"/>
              <w:rPr>
                <w:rFonts w:ascii="Bookman Old Style" w:hAnsi="Bookman Old Style"/>
                <w:szCs w:val="21"/>
              </w:rPr>
            </w:pPr>
          </w:p>
        </w:tc>
      </w:tr>
    </w:tbl>
    <w:p w:rsidR="00790E16" w:rsidRDefault="009074EB" w:rsidP="00790E16">
      <w:pPr>
        <w:ind w:leftChars="200" w:left="600" w:hangingChars="100" w:hanging="180"/>
        <w:rPr>
          <w:rFonts w:ascii="Bookman Old Style" w:hAnsi="Bookman Old Style"/>
          <w:sz w:val="18"/>
          <w:szCs w:val="18"/>
        </w:rPr>
      </w:pPr>
      <w:r>
        <w:rPr>
          <w:rFonts w:ascii="Bookman Old Style" w:hAnsi="Bookman Old Style" w:hint="eastAsia"/>
          <w:sz w:val="18"/>
          <w:szCs w:val="18"/>
        </w:rPr>
        <w:t>＊</w:t>
      </w:r>
      <w:r w:rsidR="00790E16" w:rsidRPr="00790E16">
        <w:rPr>
          <w:rFonts w:ascii="Bookman Old Style" w:hAnsi="Bookman Old Style"/>
          <w:sz w:val="18"/>
          <w:szCs w:val="18"/>
        </w:rPr>
        <w:t>H28</w:t>
      </w:r>
      <w:r w:rsidR="00790E16" w:rsidRPr="00790E16">
        <w:rPr>
          <w:rFonts w:ascii="Bookman Old Style" w:hAnsi="Bookman Old Style"/>
          <w:sz w:val="18"/>
          <w:szCs w:val="18"/>
        </w:rPr>
        <w:t>年度報告書「仙台市における自殺未遂者等ハイリスク者に対する支援のあり方について」</w:t>
      </w:r>
      <w:r>
        <w:rPr>
          <w:rFonts w:ascii="Bookman Old Style" w:hAnsi="Bookman Old Style" w:hint="eastAsia"/>
          <w:sz w:val="18"/>
          <w:szCs w:val="18"/>
        </w:rPr>
        <w:t>における数値（</w:t>
      </w:r>
      <w:r w:rsidRPr="00790E16">
        <w:rPr>
          <w:rFonts w:ascii="Bookman Old Style" w:hAnsi="Bookman Old Style"/>
          <w:sz w:val="18"/>
          <w:szCs w:val="18"/>
        </w:rPr>
        <w:t>死亡が</w:t>
      </w:r>
      <w:r w:rsidRPr="00790E16">
        <w:rPr>
          <w:rFonts w:ascii="Bookman Old Style" w:hAnsi="Bookman Old Style"/>
          <w:sz w:val="18"/>
          <w:szCs w:val="18"/>
        </w:rPr>
        <w:t>8%</w:t>
      </w:r>
      <w:r w:rsidR="007F4F6E">
        <w:rPr>
          <w:rFonts w:ascii="Bookman Old Style" w:hAnsi="Bookman Old Style"/>
          <w:sz w:val="18"/>
          <w:szCs w:val="18"/>
        </w:rPr>
        <w:t>，</w:t>
      </w:r>
      <w:r w:rsidRPr="00790E16">
        <w:rPr>
          <w:rFonts w:ascii="Bookman Old Style" w:hAnsi="Bookman Old Style"/>
          <w:sz w:val="18"/>
          <w:szCs w:val="18"/>
        </w:rPr>
        <w:t>入院加療が</w:t>
      </w:r>
      <w:r w:rsidRPr="00790E16">
        <w:rPr>
          <w:rFonts w:ascii="Bookman Old Style" w:hAnsi="Bookman Old Style"/>
          <w:sz w:val="18"/>
          <w:szCs w:val="18"/>
        </w:rPr>
        <w:t>64</w:t>
      </w:r>
      <w:r w:rsidRPr="00790E16">
        <w:rPr>
          <w:rFonts w:ascii="Bookman Old Style" w:hAnsi="Bookman Old Style"/>
          <w:sz w:val="18"/>
          <w:szCs w:val="18"/>
        </w:rPr>
        <w:t>％（</w:t>
      </w:r>
      <w:r w:rsidRPr="00790E16">
        <w:rPr>
          <w:rFonts w:ascii="Bookman Old Style" w:hAnsi="Bookman Old Style"/>
          <w:sz w:val="18"/>
          <w:szCs w:val="18"/>
        </w:rPr>
        <w:t>3</w:t>
      </w:r>
      <w:r w:rsidRPr="00790E16">
        <w:rPr>
          <w:rFonts w:ascii="Bookman Old Style" w:hAnsi="Bookman Old Style"/>
          <w:sz w:val="18"/>
          <w:szCs w:val="18"/>
        </w:rPr>
        <w:t>週間以上が</w:t>
      </w:r>
      <w:r w:rsidRPr="00790E16">
        <w:rPr>
          <w:rFonts w:ascii="Bookman Old Style" w:hAnsi="Bookman Old Style"/>
          <w:sz w:val="18"/>
          <w:szCs w:val="18"/>
        </w:rPr>
        <w:t>11</w:t>
      </w:r>
      <w:r w:rsidRPr="00790E16">
        <w:rPr>
          <w:rFonts w:ascii="Bookman Old Style" w:hAnsi="Bookman Old Style"/>
          <w:sz w:val="18"/>
          <w:szCs w:val="18"/>
        </w:rPr>
        <w:t>％／</w:t>
      </w:r>
      <w:r w:rsidRPr="00790E16">
        <w:rPr>
          <w:rFonts w:ascii="Bookman Old Style" w:hAnsi="Bookman Old Style"/>
          <w:sz w:val="18"/>
          <w:szCs w:val="18"/>
        </w:rPr>
        <w:t>3</w:t>
      </w:r>
      <w:r w:rsidRPr="00790E16">
        <w:rPr>
          <w:rFonts w:ascii="Bookman Old Style" w:hAnsi="Bookman Old Style"/>
          <w:sz w:val="18"/>
          <w:szCs w:val="18"/>
        </w:rPr>
        <w:t>週間未満が</w:t>
      </w:r>
      <w:r w:rsidRPr="00790E16">
        <w:rPr>
          <w:rFonts w:ascii="Bookman Old Style" w:hAnsi="Bookman Old Style"/>
          <w:sz w:val="18"/>
          <w:szCs w:val="18"/>
        </w:rPr>
        <w:t>53</w:t>
      </w:r>
      <w:r w:rsidRPr="00790E16">
        <w:rPr>
          <w:rFonts w:ascii="Bookman Old Style" w:hAnsi="Bookman Old Style"/>
          <w:sz w:val="18"/>
          <w:szCs w:val="18"/>
        </w:rPr>
        <w:t>％）</w:t>
      </w:r>
      <w:r w:rsidR="007F4F6E">
        <w:rPr>
          <w:rFonts w:ascii="Bookman Old Style" w:hAnsi="Bookman Old Style" w:hint="eastAsia"/>
          <w:sz w:val="18"/>
          <w:szCs w:val="18"/>
        </w:rPr>
        <w:t>，</w:t>
      </w:r>
      <w:r w:rsidRPr="00790E16">
        <w:rPr>
          <w:rFonts w:ascii="Bookman Old Style" w:hAnsi="Bookman Old Style"/>
          <w:sz w:val="18"/>
          <w:szCs w:val="18"/>
        </w:rPr>
        <w:t>入院不要</w:t>
      </w:r>
      <w:r w:rsidRPr="00790E16">
        <w:rPr>
          <w:rFonts w:ascii="Bookman Old Style" w:hAnsi="Bookman Old Style"/>
          <w:sz w:val="18"/>
          <w:szCs w:val="18"/>
        </w:rPr>
        <w:t>28</w:t>
      </w:r>
      <w:r>
        <w:rPr>
          <w:rFonts w:ascii="Bookman Old Style" w:hAnsi="Bookman Old Style"/>
          <w:sz w:val="18"/>
          <w:szCs w:val="18"/>
        </w:rPr>
        <w:t>％</w:t>
      </w:r>
      <w:r>
        <w:rPr>
          <w:rFonts w:ascii="Bookman Old Style" w:hAnsi="Bookman Old Style" w:hint="eastAsia"/>
          <w:sz w:val="18"/>
          <w:szCs w:val="18"/>
        </w:rPr>
        <w:t>）を基に</w:t>
      </w:r>
      <w:r w:rsidR="001D031B">
        <w:rPr>
          <w:rFonts w:ascii="Bookman Old Style" w:hAnsi="Bookman Old Style" w:hint="eastAsia"/>
          <w:sz w:val="18"/>
          <w:szCs w:val="18"/>
        </w:rPr>
        <w:t>推計</w:t>
      </w:r>
    </w:p>
    <w:p w:rsidR="00926B5A" w:rsidRDefault="00926B5A" w:rsidP="007F4F6E">
      <w:pPr>
        <w:spacing w:line="400" w:lineRule="exact"/>
        <w:ind w:leftChars="100" w:left="420" w:hangingChars="100" w:hanging="210"/>
        <w:rPr>
          <w:rFonts w:asciiTheme="majorEastAsia" w:eastAsiaTheme="majorEastAsia" w:hAnsiTheme="majorEastAsia" w:cs="メイリオ" w:hint="eastAsia"/>
        </w:rPr>
      </w:pPr>
    </w:p>
    <w:p w:rsidR="009074EB" w:rsidRPr="007F4F6E" w:rsidRDefault="009074EB" w:rsidP="007F4F6E">
      <w:pPr>
        <w:spacing w:line="400" w:lineRule="exact"/>
        <w:ind w:leftChars="100" w:left="420" w:hangingChars="100" w:hanging="210"/>
        <w:rPr>
          <w:rFonts w:asciiTheme="majorEastAsia" w:eastAsiaTheme="majorEastAsia" w:hAnsiTheme="majorEastAsia" w:cs="メイリオ"/>
        </w:rPr>
      </w:pPr>
      <w:r w:rsidRPr="007F4F6E">
        <w:rPr>
          <w:rFonts w:asciiTheme="majorEastAsia" w:eastAsiaTheme="majorEastAsia" w:hAnsiTheme="majorEastAsia" w:cs="メイリオ" w:hint="eastAsia"/>
        </w:rPr>
        <w:lastRenderedPageBreak/>
        <w:t>➡</w:t>
      </w:r>
      <w:r w:rsidR="005C125A" w:rsidRPr="007F4F6E">
        <w:rPr>
          <w:rFonts w:asciiTheme="majorEastAsia" w:eastAsiaTheme="majorEastAsia" w:hAnsiTheme="majorEastAsia" w:cs="メイリオ" w:hint="eastAsia"/>
        </w:rPr>
        <w:t>入院加療した方と入院不要の方を合わせた</w:t>
      </w:r>
      <w:r w:rsidRPr="007F4F6E">
        <w:rPr>
          <w:rFonts w:asciiTheme="majorEastAsia" w:eastAsiaTheme="majorEastAsia" w:hAnsiTheme="majorEastAsia" w:cs="メイリオ" w:hint="eastAsia"/>
        </w:rPr>
        <w:t>年間</w:t>
      </w:r>
      <w:r w:rsidR="007057C3" w:rsidRPr="007F4F6E">
        <w:rPr>
          <w:rFonts w:asciiTheme="majorEastAsia" w:eastAsiaTheme="majorEastAsia" w:hAnsiTheme="majorEastAsia" w:cs="メイリオ" w:hint="eastAsia"/>
        </w:rPr>
        <w:t>4</w:t>
      </w:r>
      <w:r w:rsidRPr="007F4F6E">
        <w:rPr>
          <w:rFonts w:asciiTheme="majorEastAsia" w:eastAsiaTheme="majorEastAsia" w:hAnsiTheme="majorEastAsia" w:cs="メイリオ" w:hint="eastAsia"/>
        </w:rPr>
        <w:t>00</w:t>
      </w:r>
      <w:r w:rsidR="008A6490" w:rsidRPr="007F4F6E">
        <w:rPr>
          <w:rFonts w:asciiTheme="majorEastAsia" w:eastAsiaTheme="majorEastAsia" w:hAnsiTheme="majorEastAsia" w:cs="メイリオ" w:hint="eastAsia"/>
        </w:rPr>
        <w:t>名弱</w:t>
      </w:r>
      <w:r w:rsidR="00092A7A" w:rsidRPr="007F4F6E">
        <w:rPr>
          <w:rFonts w:asciiTheme="majorEastAsia" w:eastAsiaTheme="majorEastAsia" w:hAnsiTheme="majorEastAsia" w:cs="メイリオ" w:hint="eastAsia"/>
        </w:rPr>
        <w:t>の</w:t>
      </w:r>
      <w:r w:rsidR="0061482E" w:rsidRPr="007F4F6E">
        <w:rPr>
          <w:rFonts w:asciiTheme="majorEastAsia" w:eastAsiaTheme="majorEastAsia" w:hAnsiTheme="majorEastAsia" w:cs="メイリオ" w:hint="eastAsia"/>
        </w:rPr>
        <w:t>自殺未遂者等</w:t>
      </w:r>
      <w:r w:rsidR="008A6490" w:rsidRPr="007F4F6E">
        <w:rPr>
          <w:rFonts w:asciiTheme="majorEastAsia" w:eastAsiaTheme="majorEastAsia" w:hAnsiTheme="majorEastAsia" w:cs="メイリオ" w:hint="eastAsia"/>
        </w:rPr>
        <w:t>ハイリスク者</w:t>
      </w:r>
      <w:r w:rsidR="00092A7A" w:rsidRPr="007F4F6E">
        <w:rPr>
          <w:rFonts w:asciiTheme="majorEastAsia" w:eastAsiaTheme="majorEastAsia" w:hAnsiTheme="majorEastAsia" w:cs="メイリオ" w:hint="eastAsia"/>
        </w:rPr>
        <w:t>に対して</w:t>
      </w:r>
      <w:r w:rsidR="007F4F6E" w:rsidRPr="007F4F6E">
        <w:rPr>
          <w:rFonts w:asciiTheme="majorEastAsia" w:eastAsiaTheme="majorEastAsia" w:hAnsiTheme="majorEastAsia" w:cs="メイリオ" w:hint="eastAsia"/>
        </w:rPr>
        <w:t>，</w:t>
      </w:r>
      <w:r w:rsidR="008A6490" w:rsidRPr="007F4F6E">
        <w:rPr>
          <w:rFonts w:asciiTheme="majorEastAsia" w:eastAsiaTheme="majorEastAsia" w:hAnsiTheme="majorEastAsia" w:cs="メイリオ" w:hint="eastAsia"/>
        </w:rPr>
        <w:t>個別具体的に丁寧なサポートを行い</w:t>
      </w:r>
      <w:r w:rsidR="007F4F6E" w:rsidRPr="007F4F6E">
        <w:rPr>
          <w:rFonts w:asciiTheme="majorEastAsia" w:eastAsiaTheme="majorEastAsia" w:hAnsiTheme="majorEastAsia" w:cs="メイリオ" w:hint="eastAsia"/>
        </w:rPr>
        <w:t>，</w:t>
      </w:r>
      <w:r w:rsidR="007057C3" w:rsidRPr="007F4F6E">
        <w:rPr>
          <w:rFonts w:asciiTheme="majorEastAsia" w:eastAsiaTheme="majorEastAsia" w:hAnsiTheme="majorEastAsia" w:cs="メイリオ" w:hint="eastAsia"/>
        </w:rPr>
        <w:t>生きることの阻害要因を低減させ</w:t>
      </w:r>
      <w:r w:rsidR="007F4F6E" w:rsidRPr="007F4F6E">
        <w:rPr>
          <w:rFonts w:asciiTheme="majorEastAsia" w:eastAsiaTheme="majorEastAsia" w:hAnsiTheme="majorEastAsia" w:cs="メイリオ" w:hint="eastAsia"/>
        </w:rPr>
        <w:t>，</w:t>
      </w:r>
      <w:r w:rsidR="007057C3" w:rsidRPr="007F4F6E">
        <w:rPr>
          <w:rFonts w:asciiTheme="majorEastAsia" w:eastAsiaTheme="majorEastAsia" w:hAnsiTheme="majorEastAsia" w:cs="メイリオ" w:hint="eastAsia"/>
        </w:rPr>
        <w:t>促進要因を増加させることが</w:t>
      </w:r>
      <w:r w:rsidR="007F4F6E" w:rsidRPr="007F4F6E">
        <w:rPr>
          <w:rFonts w:asciiTheme="majorEastAsia" w:eastAsiaTheme="majorEastAsia" w:hAnsiTheme="majorEastAsia" w:cs="メイリオ" w:hint="eastAsia"/>
        </w:rPr>
        <w:t>，</w:t>
      </w:r>
      <w:r w:rsidR="007057C3" w:rsidRPr="007F4F6E">
        <w:rPr>
          <w:rFonts w:asciiTheme="majorEastAsia" w:eastAsiaTheme="majorEastAsia" w:hAnsiTheme="majorEastAsia" w:cs="メイリオ" w:hint="eastAsia"/>
        </w:rPr>
        <w:t>自殺</w:t>
      </w:r>
      <w:r w:rsidR="008A6490" w:rsidRPr="007F4F6E">
        <w:rPr>
          <w:rFonts w:asciiTheme="majorEastAsia" w:eastAsiaTheme="majorEastAsia" w:hAnsiTheme="majorEastAsia" w:cs="メイリオ" w:hint="eastAsia"/>
        </w:rPr>
        <w:t>予防対策として重要</w:t>
      </w:r>
    </w:p>
    <w:p w:rsidR="0061482E" w:rsidRDefault="0061482E" w:rsidP="00D92631">
      <w:pPr>
        <w:rPr>
          <w:rFonts w:ascii="Bookman Old Style" w:hAnsi="Bookman Old Style"/>
          <w:szCs w:val="21"/>
        </w:rPr>
      </w:pPr>
    </w:p>
    <w:p w:rsidR="0061482E" w:rsidRPr="007F4F6E" w:rsidRDefault="001C0217" w:rsidP="001B2169">
      <w:pPr>
        <w:spacing w:line="360" w:lineRule="exact"/>
        <w:rPr>
          <w:rFonts w:asciiTheme="majorEastAsia" w:eastAsiaTheme="majorEastAsia" w:hAnsiTheme="majorEastAsia" w:cs="メイリオ"/>
        </w:rPr>
      </w:pPr>
      <w:r>
        <w:rPr>
          <w:rFonts w:asciiTheme="majorEastAsia" w:eastAsiaTheme="majorEastAsia" w:hAnsiTheme="majorEastAsia" w:cs="メイリオ" w:hint="eastAsia"/>
        </w:rPr>
        <w:t>３</w:t>
      </w:r>
      <w:r w:rsidR="0061482E" w:rsidRPr="007F4F6E">
        <w:rPr>
          <w:rFonts w:asciiTheme="majorEastAsia" w:eastAsiaTheme="majorEastAsia" w:hAnsiTheme="majorEastAsia" w:cs="メイリオ" w:hint="eastAsia"/>
        </w:rPr>
        <w:t>. 自殺未遂者等ハイリスク者への支援の流れ</w:t>
      </w:r>
      <w:r w:rsidR="00144147" w:rsidRPr="007F4F6E">
        <w:rPr>
          <w:rFonts w:asciiTheme="majorEastAsia" w:eastAsiaTheme="majorEastAsia" w:hAnsiTheme="majorEastAsia" w:cs="メイリオ" w:hint="eastAsia"/>
        </w:rPr>
        <w:t>と現状</w:t>
      </w:r>
    </w:p>
    <w:p w:rsidR="0061482E" w:rsidRDefault="001F6642" w:rsidP="00D92631">
      <w:pPr>
        <w:rPr>
          <w:rFonts w:ascii="Bookman Old Style" w:hAnsi="Bookman Old Style"/>
          <w:sz w:val="18"/>
          <w:szCs w:val="18"/>
        </w:rPr>
      </w:pPr>
      <w:r>
        <w:rPr>
          <w:rFonts w:ascii="Bookman Old Style" w:hAnsi="Bookman Old Style"/>
          <w:noProof/>
          <w:sz w:val="18"/>
          <w:szCs w:val="18"/>
        </w:rPr>
        <w:drawing>
          <wp:anchor distT="0" distB="0" distL="114300" distR="114300" simplePos="0" relativeHeight="251660288" behindDoc="0" locked="0" layoutInCell="1" allowOverlap="1">
            <wp:simplePos x="0" y="0"/>
            <wp:positionH relativeFrom="column">
              <wp:posOffset>-7620</wp:posOffset>
            </wp:positionH>
            <wp:positionV relativeFrom="paragraph">
              <wp:posOffset>199390</wp:posOffset>
            </wp:positionV>
            <wp:extent cx="6326372" cy="482718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6372" cy="48271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15F" w:rsidRDefault="0086615F">
      <w:pPr>
        <w:widowControl/>
        <w:jc w:val="left"/>
        <w:rPr>
          <w:rFonts w:asciiTheme="majorEastAsia" w:eastAsiaTheme="majorEastAsia" w:hAnsiTheme="majorEastAsia" w:cs="メイリオ"/>
        </w:rPr>
      </w:pPr>
      <w:r>
        <w:rPr>
          <w:rFonts w:asciiTheme="majorEastAsia" w:eastAsiaTheme="majorEastAsia" w:hAnsiTheme="majorEastAsia" w:cs="メイリオ"/>
        </w:rPr>
        <w:br w:type="page"/>
      </w:r>
    </w:p>
    <w:p w:rsidR="000C0234" w:rsidRPr="007F4F6E" w:rsidRDefault="001C0217" w:rsidP="00F410DB">
      <w:pPr>
        <w:spacing w:line="360" w:lineRule="exact"/>
        <w:rPr>
          <w:rFonts w:asciiTheme="majorEastAsia" w:eastAsiaTheme="majorEastAsia" w:hAnsiTheme="majorEastAsia" w:cs="メイリオ"/>
        </w:rPr>
      </w:pPr>
      <w:r>
        <w:rPr>
          <w:rFonts w:asciiTheme="majorEastAsia" w:eastAsiaTheme="majorEastAsia" w:hAnsiTheme="majorEastAsia" w:cs="メイリオ" w:hint="eastAsia"/>
        </w:rPr>
        <w:lastRenderedPageBreak/>
        <w:t>４</w:t>
      </w:r>
      <w:r w:rsidR="0061482E" w:rsidRPr="007F4F6E">
        <w:rPr>
          <w:rFonts w:asciiTheme="majorEastAsia" w:eastAsiaTheme="majorEastAsia" w:hAnsiTheme="majorEastAsia" w:cs="メイリオ" w:hint="eastAsia"/>
        </w:rPr>
        <w:t>.</w:t>
      </w:r>
      <w:r w:rsidR="000C0234" w:rsidRPr="007F4F6E">
        <w:rPr>
          <w:rFonts w:asciiTheme="majorEastAsia" w:eastAsiaTheme="majorEastAsia" w:hAnsiTheme="majorEastAsia" w:cs="メイリオ" w:hint="eastAsia"/>
        </w:rPr>
        <w:t>関係各課における取組</w:t>
      </w:r>
      <w:r w:rsidR="00AD298F">
        <w:rPr>
          <w:rFonts w:asciiTheme="majorEastAsia" w:eastAsiaTheme="majorEastAsia" w:hAnsiTheme="majorEastAsia" w:cs="メイリオ" w:hint="eastAsia"/>
        </w:rPr>
        <w:t>み</w:t>
      </w:r>
      <w:r w:rsidR="00EF669D" w:rsidRPr="007F4F6E">
        <w:rPr>
          <w:rFonts w:asciiTheme="majorEastAsia" w:eastAsiaTheme="majorEastAsia" w:hAnsiTheme="majorEastAsia" w:cs="メイリオ" w:hint="eastAsia"/>
        </w:rPr>
        <w:t>と今後の課題</w:t>
      </w:r>
      <w:r w:rsidR="00AE4463" w:rsidRPr="007F4F6E">
        <w:rPr>
          <w:rFonts w:asciiTheme="majorEastAsia" w:eastAsiaTheme="majorEastAsia" w:hAnsiTheme="majorEastAsia" w:cs="メイリオ" w:hint="eastAsia"/>
        </w:rPr>
        <w:t>／</w:t>
      </w:r>
      <w:r w:rsidR="002B04CA" w:rsidRPr="007F4F6E">
        <w:rPr>
          <w:rFonts w:asciiTheme="majorEastAsia" w:eastAsiaTheme="majorEastAsia" w:hAnsiTheme="majorEastAsia" w:cs="メイリオ" w:hint="eastAsia"/>
        </w:rPr>
        <w:t>方向性</w:t>
      </w:r>
    </w:p>
    <w:p w:rsidR="00F410DB" w:rsidRPr="00640D3A" w:rsidRDefault="00EF669D" w:rsidP="00EF669D">
      <w:pPr>
        <w:rPr>
          <w:rFonts w:ascii="Bookman Old Style" w:hAnsi="Bookman Old Style"/>
        </w:rPr>
      </w:pPr>
      <w:r w:rsidRPr="00640D3A">
        <w:rPr>
          <w:rFonts w:ascii="Bookman Old Style" w:hAnsi="Bookman Old Style"/>
        </w:rPr>
        <w:t>（</w:t>
      </w:r>
      <w:r w:rsidRPr="00640D3A">
        <w:rPr>
          <w:rFonts w:ascii="Bookman Old Style" w:hAnsi="Bookman Old Style"/>
        </w:rPr>
        <w:t>1</w:t>
      </w:r>
      <w:r w:rsidRPr="00640D3A">
        <w:rPr>
          <w:rFonts w:ascii="Bookman Old Style" w:hAnsi="Bookman Old Style"/>
        </w:rPr>
        <w:t>）</w:t>
      </w:r>
      <w:r w:rsidR="00AE4463" w:rsidRPr="00640D3A">
        <w:rPr>
          <w:rFonts w:ascii="Bookman Old Style" w:hAnsi="Bookman Old Style"/>
        </w:rPr>
        <w:t>関係各課における取組</w:t>
      </w:r>
      <w:r w:rsidR="00AD298F">
        <w:rPr>
          <w:rFonts w:ascii="Bookman Old Style" w:hAnsi="Bookman Old Style" w:hint="eastAsia"/>
        </w:rPr>
        <w:t>み</w:t>
      </w:r>
    </w:p>
    <w:tbl>
      <w:tblPr>
        <w:tblStyle w:val="a3"/>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119"/>
        <w:gridCol w:w="6735"/>
      </w:tblGrid>
      <w:tr w:rsidR="00B103D3" w:rsidTr="001D013F">
        <w:tc>
          <w:tcPr>
            <w:tcW w:w="3119" w:type="dxa"/>
            <w:tcBorders>
              <w:top w:val="single" w:sz="12" w:space="0" w:color="auto"/>
              <w:bottom w:val="single" w:sz="12" w:space="0" w:color="auto"/>
            </w:tcBorders>
          </w:tcPr>
          <w:p w:rsidR="00B103D3" w:rsidRDefault="00B103D3" w:rsidP="00814BF3">
            <w:pPr>
              <w:jc w:val="center"/>
            </w:pPr>
            <w:r>
              <w:rPr>
                <w:rFonts w:hint="eastAsia"/>
              </w:rPr>
              <w:t>計画上の柱</w:t>
            </w:r>
          </w:p>
        </w:tc>
        <w:tc>
          <w:tcPr>
            <w:tcW w:w="6735" w:type="dxa"/>
            <w:tcBorders>
              <w:top w:val="single" w:sz="12" w:space="0" w:color="auto"/>
              <w:bottom w:val="single" w:sz="12" w:space="0" w:color="auto"/>
            </w:tcBorders>
          </w:tcPr>
          <w:p w:rsidR="00B103D3" w:rsidRDefault="00B103D3" w:rsidP="00B103D3">
            <w:pPr>
              <w:jc w:val="center"/>
            </w:pPr>
            <w:r>
              <w:rPr>
                <w:rFonts w:hint="eastAsia"/>
              </w:rPr>
              <w:t>主な取組</w:t>
            </w:r>
            <w:r w:rsidR="00AD298F">
              <w:rPr>
                <w:rFonts w:hint="eastAsia"/>
              </w:rPr>
              <w:t>み</w:t>
            </w:r>
            <w:r>
              <w:rPr>
                <w:rFonts w:hint="eastAsia"/>
              </w:rPr>
              <w:t>内容</w:t>
            </w:r>
          </w:p>
        </w:tc>
      </w:tr>
      <w:tr w:rsidR="00B103D3" w:rsidTr="002B7A69">
        <w:trPr>
          <w:trHeight w:val="360"/>
        </w:trPr>
        <w:tc>
          <w:tcPr>
            <w:tcW w:w="3119" w:type="dxa"/>
            <w:vMerge w:val="restart"/>
            <w:tcBorders>
              <w:top w:val="single" w:sz="12" w:space="0" w:color="auto"/>
            </w:tcBorders>
            <w:vAlign w:val="center"/>
          </w:tcPr>
          <w:p w:rsidR="00B103D3" w:rsidRPr="00B30635" w:rsidRDefault="00B103D3" w:rsidP="00B30635">
            <w:pPr>
              <w:spacing w:line="300" w:lineRule="exact"/>
              <w:rPr>
                <w:rFonts w:asciiTheme="majorEastAsia" w:eastAsiaTheme="majorEastAsia" w:hAnsiTheme="majorEastAsia" w:cs="メイリオ"/>
              </w:rPr>
            </w:pPr>
            <w:r w:rsidRPr="00B30635">
              <w:rPr>
                <w:rFonts w:asciiTheme="majorEastAsia" w:eastAsiaTheme="majorEastAsia" w:hAnsiTheme="majorEastAsia" w:cs="メイリオ" w:hint="eastAsia"/>
              </w:rPr>
              <w:t>一人ひとりの気づきと</w:t>
            </w:r>
          </w:p>
          <w:p w:rsidR="00B103D3" w:rsidRPr="00B30635" w:rsidRDefault="00B103D3" w:rsidP="00B30635">
            <w:pPr>
              <w:spacing w:line="300" w:lineRule="exact"/>
              <w:rPr>
                <w:rFonts w:asciiTheme="majorEastAsia" w:eastAsiaTheme="majorEastAsia" w:hAnsiTheme="majorEastAsia"/>
              </w:rPr>
            </w:pPr>
            <w:r w:rsidRPr="00B30635">
              <w:rPr>
                <w:rFonts w:asciiTheme="majorEastAsia" w:eastAsiaTheme="majorEastAsia" w:hAnsiTheme="majorEastAsia" w:cs="メイリオ" w:hint="eastAsia"/>
              </w:rPr>
              <w:t>見守りの推進</w:t>
            </w:r>
          </w:p>
        </w:tc>
        <w:tc>
          <w:tcPr>
            <w:tcW w:w="6735" w:type="dxa"/>
            <w:tcBorders>
              <w:top w:val="single" w:sz="12" w:space="0" w:color="auto"/>
              <w:bottom w:val="single" w:sz="6" w:space="0" w:color="auto"/>
            </w:tcBorders>
            <w:vAlign w:val="center"/>
          </w:tcPr>
          <w:p w:rsidR="00B103D3" w:rsidRPr="00B30635" w:rsidRDefault="00B103D3" w:rsidP="007276F5">
            <w:pPr>
              <w:spacing w:line="240" w:lineRule="exact"/>
              <w:rPr>
                <w:rFonts w:asciiTheme="majorEastAsia" w:eastAsiaTheme="majorEastAsia" w:hAnsiTheme="majorEastAsia"/>
              </w:rPr>
            </w:pPr>
            <w:r w:rsidRPr="00B30635">
              <w:rPr>
                <w:rFonts w:asciiTheme="majorEastAsia" w:eastAsiaTheme="majorEastAsia" w:hAnsiTheme="majorEastAsia" w:hint="eastAsia"/>
              </w:rPr>
              <w:t>❏</w:t>
            </w:r>
            <w:r w:rsidRPr="00B30635">
              <w:rPr>
                <w:rFonts w:asciiTheme="majorEastAsia" w:eastAsiaTheme="majorEastAsia" w:hAnsiTheme="majorEastAsia" w:cs="メイリオ" w:hint="eastAsia"/>
              </w:rPr>
              <w:t>救急隊によるリーフレットの配布</w:t>
            </w:r>
          </w:p>
          <w:p w:rsidR="00B103D3" w:rsidRDefault="00B103D3" w:rsidP="00B2799C">
            <w:pPr>
              <w:ind w:left="210" w:hangingChars="100" w:hanging="210"/>
              <w:rPr>
                <w:rFonts w:ascii="Bookman Old Style" w:hAnsi="Bookman Old Style"/>
              </w:rPr>
            </w:pPr>
            <w:r>
              <w:rPr>
                <w:rFonts w:ascii="Bookman Old Style" w:hAnsi="Bookman Old Style" w:hint="eastAsia"/>
              </w:rPr>
              <w:t xml:space="preserve">　</w:t>
            </w:r>
            <w:r w:rsidR="00386E09">
              <w:rPr>
                <w:rFonts w:ascii="Bookman Old Style" w:hAnsi="Bookman Old Style" w:hint="eastAsia"/>
              </w:rPr>
              <w:t>救急隊が出動した事案のうち</w:t>
            </w:r>
            <w:r w:rsidR="007F4F6E">
              <w:rPr>
                <w:rFonts w:ascii="Bookman Old Style" w:hAnsi="Bookman Old Style" w:hint="eastAsia"/>
              </w:rPr>
              <w:t>，</w:t>
            </w:r>
            <w:r w:rsidR="00386E09">
              <w:rPr>
                <w:rFonts w:ascii="Bookman Old Style" w:hAnsi="Bookman Old Style" w:hint="eastAsia"/>
              </w:rPr>
              <w:t>搬送を要しない方</w:t>
            </w:r>
            <w:r>
              <w:rPr>
                <w:rFonts w:ascii="Bookman Old Style" w:hAnsi="Bookman Old Style" w:hint="eastAsia"/>
              </w:rPr>
              <w:t>に対して</w:t>
            </w:r>
            <w:r w:rsidR="007F4F6E">
              <w:rPr>
                <w:rFonts w:ascii="Bookman Old Style" w:hAnsi="Bookman Old Style" w:hint="eastAsia"/>
              </w:rPr>
              <w:t>，</w:t>
            </w:r>
            <w:r w:rsidR="00B2799C">
              <w:rPr>
                <w:rFonts w:ascii="Bookman Old Style" w:hAnsi="Bookman Old Style" w:hint="eastAsia"/>
              </w:rPr>
              <w:t>こころの絆センターなど</w:t>
            </w:r>
            <w:r w:rsidR="007F4F6E">
              <w:rPr>
                <w:rFonts w:ascii="Bookman Old Style" w:hAnsi="Bookman Old Style" w:hint="eastAsia"/>
              </w:rPr>
              <w:t>，</w:t>
            </w:r>
            <w:r w:rsidR="007057C3">
              <w:rPr>
                <w:rFonts w:ascii="Bookman Old Style" w:hAnsi="Bookman Old Style" w:hint="eastAsia"/>
              </w:rPr>
              <w:t>自殺</w:t>
            </w:r>
            <w:r w:rsidR="00C323AA">
              <w:rPr>
                <w:rFonts w:ascii="Bookman Old Style" w:hAnsi="Bookman Old Style" w:hint="eastAsia"/>
              </w:rPr>
              <w:t>予防の</w:t>
            </w:r>
            <w:r>
              <w:rPr>
                <w:rFonts w:ascii="Bookman Old Style" w:hAnsi="Bookman Old Style" w:hint="eastAsia"/>
              </w:rPr>
              <w:t>相談機関を紹介するためのリーフレットを配布</w:t>
            </w:r>
          </w:p>
        </w:tc>
      </w:tr>
      <w:tr w:rsidR="00B103D3" w:rsidTr="00EC60C5">
        <w:trPr>
          <w:trHeight w:val="360"/>
        </w:trPr>
        <w:tc>
          <w:tcPr>
            <w:tcW w:w="3119" w:type="dxa"/>
            <w:vMerge/>
            <w:vAlign w:val="center"/>
          </w:tcPr>
          <w:p w:rsidR="00B103D3" w:rsidRDefault="00B103D3" w:rsidP="00D92631">
            <w:pPr>
              <w:rPr>
                <w:rFonts w:ascii="Bookman Old Style" w:hAnsi="Bookman Old Style"/>
              </w:rPr>
            </w:pPr>
          </w:p>
        </w:tc>
        <w:tc>
          <w:tcPr>
            <w:tcW w:w="6735" w:type="dxa"/>
            <w:tcBorders>
              <w:top w:val="single" w:sz="6" w:space="0" w:color="auto"/>
              <w:bottom w:val="single" w:sz="6" w:space="0" w:color="auto"/>
            </w:tcBorders>
            <w:vAlign w:val="center"/>
          </w:tcPr>
          <w:p w:rsidR="00EF669D" w:rsidRPr="00B30635" w:rsidRDefault="00B103D3" w:rsidP="007276F5">
            <w:pPr>
              <w:spacing w:line="240" w:lineRule="exact"/>
              <w:rPr>
                <w:rFonts w:asciiTheme="majorEastAsia" w:eastAsiaTheme="majorEastAsia" w:hAnsiTheme="majorEastAsia"/>
              </w:rPr>
            </w:pPr>
            <w:r w:rsidRPr="00B30635">
              <w:rPr>
                <w:rFonts w:asciiTheme="majorEastAsia" w:eastAsiaTheme="majorEastAsia" w:hAnsiTheme="majorEastAsia" w:hint="eastAsia"/>
              </w:rPr>
              <w:t>❏</w:t>
            </w:r>
            <w:r w:rsidR="003F243B" w:rsidRPr="00B30635">
              <w:rPr>
                <w:rFonts w:asciiTheme="majorEastAsia" w:eastAsiaTheme="majorEastAsia" w:hAnsiTheme="majorEastAsia" w:cs="メイリオ" w:hint="eastAsia"/>
              </w:rPr>
              <w:t>仙台市こころの</w:t>
            </w:r>
            <w:r w:rsidRPr="00B30635">
              <w:rPr>
                <w:rFonts w:asciiTheme="majorEastAsia" w:eastAsiaTheme="majorEastAsia" w:hAnsiTheme="majorEastAsia" w:cs="メイリオ" w:hint="eastAsia"/>
              </w:rPr>
              <w:t>絆センターの周知</w:t>
            </w:r>
          </w:p>
          <w:p w:rsidR="003F243B" w:rsidRDefault="003F243B" w:rsidP="00795B59">
            <w:pPr>
              <w:ind w:left="210" w:hangingChars="100" w:hanging="210"/>
              <w:rPr>
                <w:rFonts w:ascii="Bookman Old Style" w:hAnsi="Bookman Old Style"/>
              </w:rPr>
            </w:pPr>
            <w:r>
              <w:rPr>
                <w:rFonts w:ascii="Bookman Old Style" w:hAnsi="Bookman Old Style" w:hint="eastAsia"/>
              </w:rPr>
              <w:t xml:space="preserve">　</w:t>
            </w:r>
            <w:r w:rsidR="007057C3">
              <w:rPr>
                <w:rFonts w:ascii="Bookman Old Style" w:hAnsi="Bookman Old Style" w:hint="eastAsia"/>
              </w:rPr>
              <w:t>精神保健福祉総合センターによる各種団体</w:t>
            </w:r>
            <w:r w:rsidR="007F4F6E">
              <w:rPr>
                <w:rFonts w:ascii="Bookman Old Style" w:hAnsi="Bookman Old Style" w:hint="eastAsia"/>
              </w:rPr>
              <w:t>，</w:t>
            </w:r>
            <w:r w:rsidR="007057C3">
              <w:rPr>
                <w:rFonts w:ascii="Bookman Old Style" w:hAnsi="Bookman Old Style" w:hint="eastAsia"/>
              </w:rPr>
              <w:t>関係機関への自殺</w:t>
            </w:r>
            <w:r w:rsidR="00795B59">
              <w:rPr>
                <w:rFonts w:ascii="Bookman Old Style" w:hAnsi="Bookman Old Style" w:hint="eastAsia"/>
              </w:rPr>
              <w:t>予防に関する専用電話相談の周知</w:t>
            </w:r>
          </w:p>
        </w:tc>
      </w:tr>
      <w:tr w:rsidR="00B103D3" w:rsidTr="002D5D04">
        <w:trPr>
          <w:trHeight w:val="360"/>
        </w:trPr>
        <w:tc>
          <w:tcPr>
            <w:tcW w:w="3119" w:type="dxa"/>
            <w:vMerge/>
            <w:vAlign w:val="center"/>
          </w:tcPr>
          <w:p w:rsidR="00B103D3" w:rsidRDefault="00B103D3" w:rsidP="00D92631">
            <w:pPr>
              <w:rPr>
                <w:rFonts w:ascii="Bookman Old Style" w:hAnsi="Bookman Old Style"/>
              </w:rPr>
            </w:pPr>
          </w:p>
        </w:tc>
        <w:tc>
          <w:tcPr>
            <w:tcW w:w="6735" w:type="dxa"/>
            <w:tcBorders>
              <w:top w:val="single" w:sz="6" w:space="0" w:color="auto"/>
            </w:tcBorders>
            <w:vAlign w:val="center"/>
          </w:tcPr>
          <w:p w:rsidR="00EF669D" w:rsidRPr="00B30635" w:rsidRDefault="00B103D3" w:rsidP="007276F5">
            <w:pPr>
              <w:spacing w:line="240" w:lineRule="exact"/>
              <w:rPr>
                <w:rFonts w:asciiTheme="majorEastAsia" w:eastAsiaTheme="majorEastAsia" w:hAnsiTheme="majorEastAsia"/>
              </w:rPr>
            </w:pPr>
            <w:r w:rsidRPr="00B30635">
              <w:rPr>
                <w:rFonts w:asciiTheme="majorEastAsia" w:eastAsiaTheme="majorEastAsia" w:hAnsiTheme="majorEastAsia" w:hint="eastAsia"/>
              </w:rPr>
              <w:t>❏</w:t>
            </w:r>
            <w:r w:rsidRPr="00B30635">
              <w:rPr>
                <w:rFonts w:asciiTheme="majorEastAsia" w:eastAsiaTheme="majorEastAsia" w:hAnsiTheme="majorEastAsia" w:cs="メイリオ" w:hint="eastAsia"/>
              </w:rPr>
              <w:t>既存の精神保健福祉活動</w:t>
            </w:r>
            <w:r w:rsidR="00215F9A" w:rsidRPr="00B30635">
              <w:rPr>
                <w:rFonts w:asciiTheme="majorEastAsia" w:eastAsiaTheme="majorEastAsia" w:hAnsiTheme="majorEastAsia" w:cs="メイリオ" w:hint="eastAsia"/>
              </w:rPr>
              <w:t>の窓口</w:t>
            </w:r>
          </w:p>
          <w:p w:rsidR="003F243B" w:rsidRDefault="003F243B" w:rsidP="00795B59">
            <w:pPr>
              <w:ind w:left="210" w:hangingChars="100" w:hanging="210"/>
              <w:rPr>
                <w:rFonts w:ascii="Bookman Old Style" w:hAnsi="Bookman Old Style"/>
              </w:rPr>
            </w:pPr>
            <w:r>
              <w:rPr>
                <w:rFonts w:ascii="Bookman Old Style" w:hAnsi="Bookman Old Style" w:hint="eastAsia"/>
              </w:rPr>
              <w:t xml:space="preserve">　</w:t>
            </w:r>
            <w:r w:rsidR="00795B59">
              <w:rPr>
                <w:rFonts w:ascii="Bookman Old Style" w:hAnsi="Bookman Old Style" w:hint="eastAsia"/>
              </w:rPr>
              <w:t>保健福祉センターを中心とした</w:t>
            </w:r>
            <w:r w:rsidR="00215F9A">
              <w:rPr>
                <w:rFonts w:ascii="Bookman Old Style" w:hAnsi="Bookman Old Style" w:hint="eastAsia"/>
              </w:rPr>
              <w:t>身近な場所での</w:t>
            </w:r>
            <w:r w:rsidR="00795B59">
              <w:rPr>
                <w:rFonts w:ascii="Bookman Old Style" w:hAnsi="Bookman Old Style" w:hint="eastAsia"/>
              </w:rPr>
              <w:t>精神疾患・精神障害の人に対する相談支援活動</w:t>
            </w:r>
            <w:r w:rsidR="00215F9A">
              <w:rPr>
                <w:rFonts w:ascii="Bookman Old Style" w:hAnsi="Bookman Old Style" w:hint="eastAsia"/>
              </w:rPr>
              <w:t>窓口</w:t>
            </w:r>
          </w:p>
        </w:tc>
      </w:tr>
      <w:tr w:rsidR="00EF669D" w:rsidTr="00D17677">
        <w:trPr>
          <w:trHeight w:val="480"/>
        </w:trPr>
        <w:tc>
          <w:tcPr>
            <w:tcW w:w="3119" w:type="dxa"/>
            <w:vMerge w:val="restart"/>
            <w:vAlign w:val="center"/>
          </w:tcPr>
          <w:p w:rsidR="00EF669D" w:rsidRPr="00B30635" w:rsidRDefault="00EF669D" w:rsidP="007276F5">
            <w:pPr>
              <w:spacing w:line="400" w:lineRule="exact"/>
              <w:rPr>
                <w:rFonts w:asciiTheme="majorEastAsia" w:eastAsiaTheme="majorEastAsia" w:hAnsiTheme="majorEastAsia"/>
              </w:rPr>
            </w:pPr>
            <w:r w:rsidRPr="00B30635">
              <w:rPr>
                <w:rFonts w:asciiTheme="majorEastAsia" w:eastAsiaTheme="majorEastAsia" w:hAnsiTheme="majorEastAsia" w:cs="メイリオ" w:hint="eastAsia"/>
              </w:rPr>
              <w:t>人材の育成と確保</w:t>
            </w:r>
          </w:p>
        </w:tc>
        <w:tc>
          <w:tcPr>
            <w:tcW w:w="6735" w:type="dxa"/>
            <w:vAlign w:val="center"/>
          </w:tcPr>
          <w:p w:rsidR="00EF669D" w:rsidRPr="00B30635" w:rsidRDefault="00EF669D" w:rsidP="007276F5">
            <w:pPr>
              <w:spacing w:line="240" w:lineRule="exact"/>
              <w:rPr>
                <w:rFonts w:asciiTheme="majorEastAsia" w:eastAsiaTheme="majorEastAsia" w:hAnsiTheme="majorEastAsia"/>
              </w:rPr>
            </w:pPr>
            <w:r w:rsidRPr="00B30635">
              <w:rPr>
                <w:rFonts w:asciiTheme="majorEastAsia" w:eastAsiaTheme="majorEastAsia" w:hAnsiTheme="majorEastAsia" w:hint="eastAsia"/>
              </w:rPr>
              <w:t>❏</w:t>
            </w:r>
            <w:r w:rsidR="00215F9A" w:rsidRPr="00B30635">
              <w:rPr>
                <w:rFonts w:asciiTheme="majorEastAsia" w:eastAsiaTheme="majorEastAsia" w:hAnsiTheme="majorEastAsia" w:cs="メイリオ" w:hint="eastAsia"/>
              </w:rPr>
              <w:t>専門職向けゲートキーパー養成研修</w:t>
            </w:r>
          </w:p>
          <w:p w:rsidR="00215F9A" w:rsidRDefault="00215F9A" w:rsidP="00215F9A">
            <w:pPr>
              <w:ind w:left="210" w:hangingChars="100" w:hanging="210"/>
              <w:rPr>
                <w:rFonts w:ascii="Bookman Old Style" w:hAnsi="Bookman Old Style"/>
              </w:rPr>
            </w:pPr>
            <w:r>
              <w:rPr>
                <w:rFonts w:ascii="Bookman Old Style" w:hAnsi="Bookman Old Style" w:hint="eastAsia"/>
              </w:rPr>
              <w:t xml:space="preserve">　精神保健福祉総合センターが実施する対人援助職向け（保健福祉センターや障害者相談支援事業所など）の自死のリスクが高い人</w:t>
            </w:r>
            <w:r w:rsidR="0086615F">
              <w:rPr>
                <w:rFonts w:ascii="Bookman Old Style" w:hAnsi="Bookman Old Style" w:hint="eastAsia"/>
              </w:rPr>
              <w:t>やその家族</w:t>
            </w:r>
            <w:r>
              <w:rPr>
                <w:rFonts w:ascii="Bookman Old Style" w:hAnsi="Bookman Old Style" w:hint="eastAsia"/>
              </w:rPr>
              <w:t>への支援に関する専門的知識に関する研修</w:t>
            </w:r>
          </w:p>
        </w:tc>
      </w:tr>
      <w:tr w:rsidR="00EF669D" w:rsidTr="00163CE3">
        <w:trPr>
          <w:trHeight w:val="480"/>
        </w:trPr>
        <w:tc>
          <w:tcPr>
            <w:tcW w:w="3119" w:type="dxa"/>
            <w:vMerge/>
            <w:vAlign w:val="center"/>
          </w:tcPr>
          <w:p w:rsidR="00EF669D" w:rsidRDefault="00EF669D" w:rsidP="00D92631">
            <w:pPr>
              <w:rPr>
                <w:rFonts w:ascii="Bookman Old Style" w:hAnsi="Bookman Old Style"/>
              </w:rPr>
            </w:pPr>
          </w:p>
        </w:tc>
        <w:tc>
          <w:tcPr>
            <w:tcW w:w="6735" w:type="dxa"/>
            <w:vAlign w:val="center"/>
          </w:tcPr>
          <w:p w:rsidR="00EF669D" w:rsidRPr="00B30635" w:rsidRDefault="00EF669D" w:rsidP="007276F5">
            <w:pPr>
              <w:spacing w:line="240" w:lineRule="exact"/>
              <w:rPr>
                <w:rFonts w:asciiTheme="majorEastAsia" w:eastAsiaTheme="majorEastAsia" w:hAnsiTheme="majorEastAsia"/>
              </w:rPr>
            </w:pPr>
            <w:r w:rsidRPr="00B30635">
              <w:rPr>
                <w:rFonts w:asciiTheme="majorEastAsia" w:eastAsiaTheme="majorEastAsia" w:hAnsiTheme="majorEastAsia" w:hint="eastAsia"/>
              </w:rPr>
              <w:t>❏</w:t>
            </w:r>
            <w:r w:rsidR="00215F9A" w:rsidRPr="00B30635">
              <w:rPr>
                <w:rFonts w:asciiTheme="majorEastAsia" w:eastAsiaTheme="majorEastAsia" w:hAnsiTheme="majorEastAsia" w:cs="メイリオ" w:hint="eastAsia"/>
              </w:rPr>
              <w:t>自殺未遂者等ハイリスク者対策研修</w:t>
            </w:r>
          </w:p>
          <w:p w:rsidR="00215F9A" w:rsidRDefault="00215F9A" w:rsidP="00F94628">
            <w:pPr>
              <w:ind w:left="210" w:hangingChars="100" w:hanging="210"/>
              <w:rPr>
                <w:rFonts w:ascii="Bookman Old Style" w:hAnsi="Bookman Old Style"/>
              </w:rPr>
            </w:pPr>
            <w:r>
              <w:rPr>
                <w:rFonts w:ascii="Bookman Old Style" w:hAnsi="Bookman Old Style" w:hint="eastAsia"/>
              </w:rPr>
              <w:t xml:space="preserve">　障害者支援課が実施する医療機関</w:t>
            </w:r>
            <w:r w:rsidR="007F4F6E">
              <w:rPr>
                <w:rFonts w:ascii="Bookman Old Style" w:hAnsi="Bookman Old Style" w:hint="eastAsia"/>
              </w:rPr>
              <w:t>，</w:t>
            </w:r>
            <w:r>
              <w:rPr>
                <w:rFonts w:ascii="Bookman Old Style" w:hAnsi="Bookman Old Style" w:hint="eastAsia"/>
              </w:rPr>
              <w:t>地域の相談支援機関を対象にした未遂者等ハイリスク者</w:t>
            </w:r>
            <w:r w:rsidR="00F94628">
              <w:rPr>
                <w:rFonts w:ascii="Bookman Old Style" w:hAnsi="Bookman Old Style" w:hint="eastAsia"/>
              </w:rPr>
              <w:t>に対する専門的知識や先進地の取組</w:t>
            </w:r>
            <w:r w:rsidR="00AD298F">
              <w:rPr>
                <w:rFonts w:ascii="Bookman Old Style" w:hAnsi="Bookman Old Style" w:hint="eastAsia"/>
              </w:rPr>
              <w:t>み</w:t>
            </w:r>
            <w:r w:rsidR="00F94628">
              <w:rPr>
                <w:rFonts w:ascii="Bookman Old Style" w:hAnsi="Bookman Old Style" w:hint="eastAsia"/>
              </w:rPr>
              <w:t>を学ぶ機会の提供</w:t>
            </w:r>
          </w:p>
        </w:tc>
      </w:tr>
      <w:tr w:rsidR="00EF669D" w:rsidTr="003E1E9C">
        <w:trPr>
          <w:trHeight w:val="480"/>
        </w:trPr>
        <w:tc>
          <w:tcPr>
            <w:tcW w:w="3119" w:type="dxa"/>
            <w:vMerge/>
            <w:vAlign w:val="center"/>
          </w:tcPr>
          <w:p w:rsidR="00EF669D" w:rsidRDefault="00EF669D" w:rsidP="00D92631">
            <w:pPr>
              <w:rPr>
                <w:rFonts w:ascii="Bookman Old Style" w:hAnsi="Bookman Old Style"/>
              </w:rPr>
            </w:pPr>
          </w:p>
        </w:tc>
        <w:tc>
          <w:tcPr>
            <w:tcW w:w="6735" w:type="dxa"/>
            <w:vAlign w:val="center"/>
          </w:tcPr>
          <w:p w:rsidR="00EF669D" w:rsidRPr="00B30635" w:rsidRDefault="00EF669D" w:rsidP="007276F5">
            <w:pPr>
              <w:spacing w:line="240" w:lineRule="exact"/>
              <w:rPr>
                <w:rFonts w:asciiTheme="majorEastAsia" w:eastAsiaTheme="majorEastAsia" w:hAnsiTheme="majorEastAsia"/>
              </w:rPr>
            </w:pPr>
            <w:r w:rsidRPr="00B30635">
              <w:rPr>
                <w:rFonts w:asciiTheme="majorEastAsia" w:eastAsiaTheme="majorEastAsia" w:hAnsiTheme="majorEastAsia" w:hint="eastAsia"/>
              </w:rPr>
              <w:t>❏</w:t>
            </w:r>
            <w:r w:rsidR="00215F9A" w:rsidRPr="00B30635">
              <w:rPr>
                <w:rFonts w:asciiTheme="majorEastAsia" w:eastAsiaTheme="majorEastAsia" w:hAnsiTheme="majorEastAsia" w:cs="メイリオ" w:hint="eastAsia"/>
              </w:rPr>
              <w:t>アルコール問題関連研修や災害時メンタルヘルス研修など</w:t>
            </w:r>
          </w:p>
          <w:p w:rsidR="00F94628" w:rsidRDefault="00F94628" w:rsidP="00DD1575">
            <w:pPr>
              <w:ind w:left="210" w:hangingChars="100" w:hanging="210"/>
              <w:rPr>
                <w:rFonts w:ascii="Bookman Old Style" w:hAnsi="Bookman Old Style"/>
              </w:rPr>
            </w:pPr>
            <w:r>
              <w:rPr>
                <w:rFonts w:ascii="Bookman Old Style" w:hAnsi="Bookman Old Style" w:hint="eastAsia"/>
              </w:rPr>
              <w:t xml:space="preserve">　主に精神保健福祉総合センターが</w:t>
            </w:r>
            <w:r w:rsidR="00B2799C">
              <w:rPr>
                <w:rFonts w:ascii="Bookman Old Style" w:hAnsi="Bookman Old Style" w:hint="eastAsia"/>
              </w:rPr>
              <w:t>実施</w:t>
            </w:r>
            <w:r>
              <w:rPr>
                <w:rFonts w:ascii="Bookman Old Style" w:hAnsi="Bookman Old Style" w:hint="eastAsia"/>
              </w:rPr>
              <w:t>する</w:t>
            </w:r>
            <w:r w:rsidR="00B2799C">
              <w:rPr>
                <w:rFonts w:ascii="Bookman Old Style" w:hAnsi="Bookman Old Style" w:hint="eastAsia"/>
              </w:rPr>
              <w:t>アルコール問題</w:t>
            </w:r>
            <w:r w:rsidR="007F4F6E">
              <w:rPr>
                <w:rFonts w:ascii="Bookman Old Style" w:hAnsi="Bookman Old Style" w:hint="eastAsia"/>
              </w:rPr>
              <w:t>，</w:t>
            </w:r>
            <w:r>
              <w:rPr>
                <w:rFonts w:ascii="Bookman Old Style" w:hAnsi="Bookman Old Style" w:hint="eastAsia"/>
              </w:rPr>
              <w:t>精神疾患や予期しない出来事（災害など）</w:t>
            </w:r>
            <w:r w:rsidR="001C0217">
              <w:rPr>
                <w:rFonts w:ascii="Bookman Old Style" w:hAnsi="Bookman Old Style" w:hint="eastAsia"/>
              </w:rPr>
              <w:t>等</w:t>
            </w:r>
            <w:r w:rsidR="007F4F6E">
              <w:rPr>
                <w:rFonts w:ascii="Bookman Old Style" w:hAnsi="Bookman Old Style" w:hint="eastAsia"/>
              </w:rPr>
              <w:t>，</w:t>
            </w:r>
            <w:r w:rsidR="00DD1575">
              <w:rPr>
                <w:rFonts w:ascii="Bookman Old Style" w:hAnsi="Bookman Old Style" w:hint="eastAsia"/>
              </w:rPr>
              <w:t>生きることの阻害要因</w:t>
            </w:r>
            <w:r w:rsidR="00036030">
              <w:rPr>
                <w:rFonts w:ascii="Bookman Old Style" w:hAnsi="Bookman Old Style" w:hint="eastAsia"/>
              </w:rPr>
              <w:t>に係る</w:t>
            </w:r>
            <w:r w:rsidR="000520A8">
              <w:rPr>
                <w:rFonts w:ascii="Bookman Old Style" w:hAnsi="Bookman Old Style" w:hint="eastAsia"/>
              </w:rPr>
              <w:t>知識や対人支援</w:t>
            </w:r>
            <w:r w:rsidR="007276F5">
              <w:rPr>
                <w:rFonts w:ascii="Bookman Old Style" w:hAnsi="Bookman Old Style" w:hint="eastAsia"/>
              </w:rPr>
              <w:t>技術など</w:t>
            </w:r>
            <w:r w:rsidR="00DD1575">
              <w:rPr>
                <w:rFonts w:ascii="Bookman Old Style" w:hAnsi="Bookman Old Style" w:hint="eastAsia"/>
              </w:rPr>
              <w:t>に関する</w:t>
            </w:r>
            <w:r w:rsidR="000520A8">
              <w:rPr>
                <w:rFonts w:ascii="Bookman Old Style" w:hAnsi="Bookman Old Style" w:hint="eastAsia"/>
              </w:rPr>
              <w:t>区保健福祉センター等職員向けの</w:t>
            </w:r>
            <w:r w:rsidR="007276F5">
              <w:rPr>
                <w:rFonts w:ascii="Bookman Old Style" w:hAnsi="Bookman Old Style" w:hint="eastAsia"/>
              </w:rPr>
              <w:t>研修</w:t>
            </w:r>
          </w:p>
        </w:tc>
      </w:tr>
      <w:tr w:rsidR="00EF669D" w:rsidTr="00E91014">
        <w:tc>
          <w:tcPr>
            <w:tcW w:w="3119" w:type="dxa"/>
            <w:vAlign w:val="center"/>
          </w:tcPr>
          <w:p w:rsidR="00EF669D" w:rsidRPr="00B30635" w:rsidRDefault="00EF669D" w:rsidP="007276F5">
            <w:pPr>
              <w:spacing w:line="400" w:lineRule="exact"/>
              <w:rPr>
                <w:rFonts w:asciiTheme="majorEastAsia" w:eastAsiaTheme="majorEastAsia" w:hAnsiTheme="majorEastAsia"/>
              </w:rPr>
            </w:pPr>
            <w:r w:rsidRPr="00B30635">
              <w:rPr>
                <w:rFonts w:asciiTheme="majorEastAsia" w:eastAsiaTheme="majorEastAsia" w:hAnsiTheme="majorEastAsia" w:cs="メイリオ" w:hint="eastAsia"/>
              </w:rPr>
              <w:t>対象に応じた支援の充実</w:t>
            </w:r>
          </w:p>
        </w:tc>
        <w:tc>
          <w:tcPr>
            <w:tcW w:w="6735" w:type="dxa"/>
            <w:vAlign w:val="center"/>
          </w:tcPr>
          <w:p w:rsidR="00EF669D" w:rsidRPr="00B30635" w:rsidRDefault="00EF669D" w:rsidP="00B90293">
            <w:pPr>
              <w:spacing w:line="240" w:lineRule="exact"/>
              <w:rPr>
                <w:rFonts w:asciiTheme="majorEastAsia" w:eastAsiaTheme="majorEastAsia" w:hAnsiTheme="majorEastAsia"/>
              </w:rPr>
            </w:pPr>
            <w:r w:rsidRPr="00B30635">
              <w:rPr>
                <w:rFonts w:asciiTheme="majorEastAsia" w:eastAsiaTheme="majorEastAsia" w:hAnsiTheme="majorEastAsia" w:hint="eastAsia"/>
              </w:rPr>
              <w:t>❏</w:t>
            </w:r>
            <w:r w:rsidR="0052620F" w:rsidRPr="00B30635">
              <w:rPr>
                <w:rFonts w:asciiTheme="majorEastAsia" w:eastAsiaTheme="majorEastAsia" w:hAnsiTheme="majorEastAsia" w:cs="メイリオ" w:hint="eastAsia"/>
              </w:rPr>
              <w:t>リーフレットや</w:t>
            </w:r>
            <w:r w:rsidR="00C32509" w:rsidRPr="00B30635">
              <w:rPr>
                <w:rFonts w:asciiTheme="majorEastAsia" w:eastAsiaTheme="majorEastAsia" w:hAnsiTheme="majorEastAsia" w:cs="メイリオ" w:hint="eastAsia"/>
              </w:rPr>
              <w:t>広報などを通じた</w:t>
            </w:r>
            <w:r w:rsidR="0052620F" w:rsidRPr="00B30635">
              <w:rPr>
                <w:rFonts w:asciiTheme="majorEastAsia" w:eastAsiaTheme="majorEastAsia" w:hAnsiTheme="majorEastAsia" w:cs="メイリオ" w:hint="eastAsia"/>
              </w:rPr>
              <w:t>相談窓口周知</w:t>
            </w:r>
          </w:p>
          <w:p w:rsidR="007276F5" w:rsidRPr="0052620F" w:rsidRDefault="0052620F" w:rsidP="00C32509">
            <w:pPr>
              <w:ind w:left="210" w:hangingChars="100" w:hanging="210"/>
            </w:pPr>
            <w:r>
              <w:rPr>
                <w:rFonts w:hint="eastAsia"/>
              </w:rPr>
              <w:t xml:space="preserve">　</w:t>
            </w:r>
            <w:r w:rsidR="00C323AA">
              <w:rPr>
                <w:rFonts w:hint="eastAsia"/>
              </w:rPr>
              <w:t>自死のリスクの度合いに</w:t>
            </w:r>
            <w:r w:rsidR="00C32509">
              <w:rPr>
                <w:rFonts w:hint="eastAsia"/>
              </w:rPr>
              <w:t>関わらず市民全体を対象とした相談窓口や支援機関の周知</w:t>
            </w:r>
          </w:p>
          <w:p w:rsidR="00EF669D" w:rsidRPr="00B30635" w:rsidRDefault="00EF669D" w:rsidP="00B90293">
            <w:pPr>
              <w:spacing w:line="240" w:lineRule="exact"/>
              <w:rPr>
                <w:rFonts w:asciiTheme="majorEastAsia" w:eastAsiaTheme="majorEastAsia" w:hAnsiTheme="majorEastAsia"/>
              </w:rPr>
            </w:pPr>
            <w:r w:rsidRPr="00B30635">
              <w:rPr>
                <w:rFonts w:asciiTheme="majorEastAsia" w:eastAsiaTheme="majorEastAsia" w:hAnsiTheme="majorEastAsia" w:hint="eastAsia"/>
              </w:rPr>
              <w:t>❏</w:t>
            </w:r>
            <w:r w:rsidR="0052620F" w:rsidRPr="00B30635">
              <w:rPr>
                <w:rFonts w:asciiTheme="majorEastAsia" w:eastAsiaTheme="majorEastAsia" w:hAnsiTheme="majorEastAsia" w:cs="メイリオ" w:hint="eastAsia"/>
              </w:rPr>
              <w:t>自殺未遂に至る前の支援</w:t>
            </w:r>
          </w:p>
          <w:p w:rsidR="007276F5" w:rsidRDefault="00C32509" w:rsidP="00E71A3D">
            <w:pPr>
              <w:ind w:left="210" w:hangingChars="100" w:hanging="210"/>
            </w:pPr>
            <w:r>
              <w:rPr>
                <w:rFonts w:hint="eastAsia"/>
              </w:rPr>
              <w:t xml:space="preserve">　</w:t>
            </w:r>
            <w:r w:rsidR="00E71A3D">
              <w:rPr>
                <w:rFonts w:hint="eastAsia"/>
              </w:rPr>
              <w:t>生きることの阻害要因となりうる幅広い問題に対する相談支援機関における各種相談支援の取組</w:t>
            </w:r>
            <w:r w:rsidR="00AD298F">
              <w:rPr>
                <w:rFonts w:hint="eastAsia"/>
              </w:rPr>
              <w:t>み</w:t>
            </w:r>
          </w:p>
          <w:p w:rsidR="00EF669D" w:rsidRPr="00B30635" w:rsidRDefault="00EF669D" w:rsidP="00B90293">
            <w:pPr>
              <w:spacing w:line="240" w:lineRule="exact"/>
              <w:rPr>
                <w:rFonts w:asciiTheme="majorEastAsia" w:eastAsiaTheme="majorEastAsia" w:hAnsiTheme="majorEastAsia"/>
              </w:rPr>
            </w:pPr>
            <w:r w:rsidRPr="00B30635">
              <w:rPr>
                <w:rFonts w:asciiTheme="majorEastAsia" w:eastAsiaTheme="majorEastAsia" w:hAnsiTheme="majorEastAsia" w:hint="eastAsia"/>
              </w:rPr>
              <w:t>❏</w:t>
            </w:r>
            <w:r w:rsidR="00E71A3D" w:rsidRPr="00B30635">
              <w:rPr>
                <w:rFonts w:asciiTheme="majorEastAsia" w:eastAsiaTheme="majorEastAsia" w:hAnsiTheme="majorEastAsia" w:cs="メイリオ" w:hint="eastAsia"/>
              </w:rPr>
              <w:t>自殺未遂者</w:t>
            </w:r>
            <w:r w:rsidRPr="00B30635">
              <w:rPr>
                <w:rFonts w:asciiTheme="majorEastAsia" w:eastAsiaTheme="majorEastAsia" w:hAnsiTheme="majorEastAsia" w:cs="メイリオ" w:hint="eastAsia"/>
              </w:rPr>
              <w:t>への個別支援</w:t>
            </w:r>
          </w:p>
          <w:p w:rsidR="007276F5" w:rsidRDefault="00E71A3D" w:rsidP="0086615F">
            <w:pPr>
              <w:ind w:left="210" w:hangingChars="100" w:hanging="210"/>
            </w:pPr>
            <w:r>
              <w:rPr>
                <w:rFonts w:hint="eastAsia"/>
              </w:rPr>
              <w:t xml:space="preserve">　仙台市立病院</w:t>
            </w:r>
            <w:r w:rsidR="0086615F">
              <w:rPr>
                <w:rFonts w:hint="eastAsia"/>
              </w:rPr>
              <w:t>などにおける，家族を含む</w:t>
            </w:r>
            <w:r>
              <w:rPr>
                <w:rFonts w:hint="eastAsia"/>
              </w:rPr>
              <w:t>救急搬送患者への個別支援（精神科医師</w:t>
            </w:r>
            <w:r w:rsidR="007F4F6E">
              <w:rPr>
                <w:rFonts w:hint="eastAsia"/>
              </w:rPr>
              <w:t>，</w:t>
            </w:r>
            <w:r>
              <w:rPr>
                <w:rFonts w:hint="eastAsia"/>
              </w:rPr>
              <w:t>ソーシャルワーカー</w:t>
            </w:r>
            <w:r w:rsidR="007F4F6E">
              <w:rPr>
                <w:rFonts w:hint="eastAsia"/>
              </w:rPr>
              <w:t>，</w:t>
            </w:r>
            <w:r>
              <w:rPr>
                <w:rFonts w:hint="eastAsia"/>
              </w:rPr>
              <w:t>地域の支援者の連携など）</w:t>
            </w:r>
          </w:p>
        </w:tc>
      </w:tr>
      <w:tr w:rsidR="00EF669D" w:rsidTr="00A828D4">
        <w:tc>
          <w:tcPr>
            <w:tcW w:w="3119" w:type="dxa"/>
            <w:tcBorders>
              <w:bottom w:val="single" w:sz="12" w:space="0" w:color="auto"/>
            </w:tcBorders>
            <w:vAlign w:val="center"/>
          </w:tcPr>
          <w:p w:rsidR="00EF669D" w:rsidRPr="00B30635" w:rsidRDefault="00EF669D" w:rsidP="001D41E7">
            <w:pPr>
              <w:spacing w:line="260" w:lineRule="exact"/>
              <w:rPr>
                <w:rFonts w:asciiTheme="majorEastAsia" w:eastAsiaTheme="majorEastAsia" w:hAnsiTheme="majorEastAsia" w:cs="メイリオ"/>
              </w:rPr>
            </w:pPr>
            <w:r w:rsidRPr="00B30635">
              <w:rPr>
                <w:rFonts w:asciiTheme="majorEastAsia" w:eastAsiaTheme="majorEastAsia" w:hAnsiTheme="majorEastAsia" w:cs="メイリオ" w:hint="eastAsia"/>
              </w:rPr>
              <w:t>自死の予防に関するネット</w:t>
            </w:r>
          </w:p>
          <w:p w:rsidR="00EF669D" w:rsidRPr="00B30635" w:rsidRDefault="00EF669D" w:rsidP="001D41E7">
            <w:pPr>
              <w:spacing w:line="-260" w:lineRule="auto"/>
              <w:rPr>
                <w:rFonts w:asciiTheme="majorEastAsia" w:eastAsiaTheme="majorEastAsia" w:hAnsiTheme="majorEastAsia"/>
              </w:rPr>
            </w:pPr>
            <w:r w:rsidRPr="00B30635">
              <w:rPr>
                <w:rFonts w:asciiTheme="majorEastAsia" w:eastAsiaTheme="majorEastAsia" w:hAnsiTheme="majorEastAsia" w:cs="メイリオ" w:hint="eastAsia"/>
              </w:rPr>
              <w:t>ワークの構築と効果的連携</w:t>
            </w:r>
          </w:p>
        </w:tc>
        <w:tc>
          <w:tcPr>
            <w:tcW w:w="6735" w:type="dxa"/>
            <w:tcBorders>
              <w:bottom w:val="single" w:sz="12" w:space="0" w:color="auto"/>
            </w:tcBorders>
            <w:vAlign w:val="center"/>
          </w:tcPr>
          <w:p w:rsidR="00B30635" w:rsidRPr="007F4F6E" w:rsidRDefault="00B30635" w:rsidP="00EF669D">
            <w:pPr>
              <w:ind w:left="210" w:hangingChars="100" w:hanging="210"/>
              <w:rPr>
                <w:rFonts w:asciiTheme="majorEastAsia" w:eastAsiaTheme="majorEastAsia" w:hAnsiTheme="majorEastAsia"/>
              </w:rPr>
            </w:pPr>
            <w:r w:rsidRPr="007F4F6E">
              <w:rPr>
                <w:rFonts w:asciiTheme="majorEastAsia" w:eastAsiaTheme="majorEastAsia" w:hAnsiTheme="majorEastAsia" w:hint="eastAsia"/>
              </w:rPr>
              <w:t>❏ネットワークの土台づくり</w:t>
            </w:r>
          </w:p>
          <w:p w:rsidR="00EF669D" w:rsidRDefault="00B30635" w:rsidP="00B30635">
            <w:pPr>
              <w:ind w:leftChars="100" w:left="210"/>
            </w:pPr>
            <w:r>
              <w:rPr>
                <w:rFonts w:hint="eastAsia"/>
              </w:rPr>
              <w:t>多機関協働支援の土台としての</w:t>
            </w:r>
            <w:r w:rsidR="007F4F6E">
              <w:rPr>
                <w:rFonts w:hint="eastAsia"/>
              </w:rPr>
              <w:t>，</w:t>
            </w:r>
            <w:r w:rsidR="007276F5">
              <w:rPr>
                <w:rFonts w:hint="eastAsia"/>
              </w:rPr>
              <w:t>各領域や分野における</w:t>
            </w:r>
            <w:r w:rsidR="00EF669D">
              <w:rPr>
                <w:rFonts w:hint="eastAsia"/>
              </w:rPr>
              <w:t>連携強化のための会議（児童虐待</w:t>
            </w:r>
            <w:r w:rsidR="007F4F6E">
              <w:rPr>
                <w:rFonts w:hint="eastAsia"/>
              </w:rPr>
              <w:t>，</w:t>
            </w:r>
            <w:r w:rsidR="00EF669D">
              <w:rPr>
                <w:rFonts w:hint="eastAsia"/>
              </w:rPr>
              <w:t>地域精神保健</w:t>
            </w:r>
            <w:r w:rsidR="007F4F6E">
              <w:rPr>
                <w:rFonts w:hint="eastAsia"/>
              </w:rPr>
              <w:t>，</w:t>
            </w:r>
            <w:r w:rsidR="00EF669D">
              <w:rPr>
                <w:rFonts w:hint="eastAsia"/>
              </w:rPr>
              <w:t>地域包括ケア等）</w:t>
            </w:r>
            <w:r w:rsidR="00A74FC4">
              <w:rPr>
                <w:rFonts w:hint="eastAsia"/>
              </w:rPr>
              <w:t>の実施</w:t>
            </w:r>
          </w:p>
          <w:p w:rsidR="00B30635" w:rsidRPr="007F4F6E" w:rsidRDefault="00B30635" w:rsidP="00B30635">
            <w:pPr>
              <w:ind w:left="210" w:hangingChars="100" w:hanging="210"/>
              <w:rPr>
                <w:rFonts w:asciiTheme="majorEastAsia" w:eastAsiaTheme="majorEastAsia" w:hAnsiTheme="majorEastAsia"/>
              </w:rPr>
            </w:pPr>
            <w:r w:rsidRPr="007F4F6E">
              <w:rPr>
                <w:rFonts w:asciiTheme="majorEastAsia" w:eastAsiaTheme="majorEastAsia" w:hAnsiTheme="majorEastAsia" w:hint="eastAsia"/>
              </w:rPr>
              <w:t>❏ネットワーク形成の必要性にかかる認識の共有</w:t>
            </w:r>
          </w:p>
          <w:p w:rsidR="00EF669D" w:rsidRDefault="00B30635" w:rsidP="00B30635">
            <w:pPr>
              <w:ind w:leftChars="100" w:left="210"/>
            </w:pPr>
            <w:r>
              <w:rPr>
                <w:rFonts w:hint="eastAsia"/>
              </w:rPr>
              <w:t>「</w:t>
            </w:r>
            <w:r w:rsidR="00814BF3">
              <w:rPr>
                <w:rFonts w:hint="eastAsia"/>
              </w:rPr>
              <w:t>自殺</w:t>
            </w:r>
            <w:r w:rsidR="007276F5">
              <w:rPr>
                <w:rFonts w:hint="eastAsia"/>
              </w:rPr>
              <w:t>未遂者等ハイリスク者支援あり方検討会</w:t>
            </w:r>
            <w:r>
              <w:rPr>
                <w:rFonts w:hint="eastAsia"/>
              </w:rPr>
              <w:t>」</w:t>
            </w:r>
            <w:r w:rsidR="007276F5">
              <w:rPr>
                <w:rFonts w:hint="eastAsia"/>
              </w:rPr>
              <w:t>など</w:t>
            </w:r>
            <w:r w:rsidR="0052620F">
              <w:rPr>
                <w:rFonts w:hint="eastAsia"/>
              </w:rPr>
              <w:t>の</w:t>
            </w:r>
            <w:r>
              <w:rPr>
                <w:rFonts w:hint="eastAsia"/>
              </w:rPr>
              <w:t>開催を通じて多機関協働のためのネットワーク形成の必要性</w:t>
            </w:r>
            <w:r w:rsidR="00A74FC4">
              <w:rPr>
                <w:rFonts w:hint="eastAsia"/>
              </w:rPr>
              <w:t>が共通認識される</w:t>
            </w:r>
          </w:p>
        </w:tc>
      </w:tr>
    </w:tbl>
    <w:p w:rsidR="000C0234" w:rsidRPr="008354C0" w:rsidRDefault="000C0234" w:rsidP="000C0234">
      <w:pPr>
        <w:rPr>
          <w:rFonts w:ascii="Bookman Old Style" w:hAnsi="Bookman Old Style"/>
        </w:rPr>
      </w:pPr>
      <w:r w:rsidRPr="008354C0">
        <w:rPr>
          <w:rFonts w:ascii="Bookman Old Style" w:hAnsi="Bookman Old Style"/>
        </w:rPr>
        <w:lastRenderedPageBreak/>
        <w:t>（</w:t>
      </w:r>
      <w:r w:rsidRPr="008354C0">
        <w:rPr>
          <w:rFonts w:ascii="Bookman Old Style" w:hAnsi="Bookman Old Style"/>
        </w:rPr>
        <w:t>2</w:t>
      </w:r>
      <w:r w:rsidRPr="008354C0">
        <w:rPr>
          <w:rFonts w:ascii="Bookman Old Style" w:hAnsi="Bookman Old Style"/>
        </w:rPr>
        <w:t>）課題</w:t>
      </w:r>
      <w:r>
        <w:rPr>
          <w:rFonts w:ascii="Bookman Old Style" w:hAnsi="Bookman Old Style" w:hint="eastAsia"/>
        </w:rPr>
        <w:t>と今後の取組</w:t>
      </w:r>
      <w:r w:rsidR="00AD298F">
        <w:rPr>
          <w:rFonts w:ascii="Bookman Old Style" w:hAnsi="Bookman Old Style" w:hint="eastAsia"/>
        </w:rPr>
        <w:t>み</w:t>
      </w:r>
      <w:r>
        <w:rPr>
          <w:rFonts w:ascii="Bookman Old Style" w:hAnsi="Bookman Old Style" w:hint="eastAsia"/>
        </w:rPr>
        <w:t>の方向性</w:t>
      </w:r>
    </w:p>
    <w:p w:rsidR="000C0234" w:rsidRDefault="00814BF3" w:rsidP="000C0234">
      <w:pPr>
        <w:ind w:firstLineChars="100" w:firstLine="210"/>
      </w:pPr>
      <w:r>
        <w:rPr>
          <w:rFonts w:hint="eastAsia"/>
        </w:rPr>
        <w:t>①全体的な取組みの方向性</w:t>
      </w:r>
    </w:p>
    <w:p w:rsidR="000E04F0" w:rsidRDefault="00D92A8F" w:rsidP="000E04F0">
      <w:r>
        <w:rPr>
          <w:rFonts w:hint="eastAsia"/>
        </w:rPr>
        <w:t xml:space="preserve">　　・</w:t>
      </w:r>
      <w:r w:rsidR="00814BF3">
        <w:rPr>
          <w:rFonts w:hint="eastAsia"/>
        </w:rPr>
        <w:t>自殺</w:t>
      </w:r>
      <w:r>
        <w:rPr>
          <w:rFonts w:hint="eastAsia"/>
        </w:rPr>
        <w:t>未遂者等ハイリスク者に関わる関係機関</w:t>
      </w:r>
      <w:r w:rsidR="000E04F0">
        <w:rPr>
          <w:rFonts w:hint="eastAsia"/>
        </w:rPr>
        <w:t>のネットワーク形成</w:t>
      </w:r>
    </w:p>
    <w:p w:rsidR="000E04F0" w:rsidRDefault="000E04F0" w:rsidP="000E04F0">
      <w:r>
        <w:rPr>
          <w:rFonts w:hint="eastAsia"/>
        </w:rPr>
        <w:t xml:space="preserve">　　　➡多機関</w:t>
      </w:r>
      <w:r w:rsidR="00D92A8F">
        <w:rPr>
          <w:rFonts w:hint="eastAsia"/>
        </w:rPr>
        <w:t>協働支援の基盤として事例検討や</w:t>
      </w:r>
      <w:r>
        <w:rPr>
          <w:rFonts w:hint="eastAsia"/>
        </w:rPr>
        <w:t>課題共有等を行う機会の確保</w:t>
      </w:r>
    </w:p>
    <w:p w:rsidR="000E04F0" w:rsidRDefault="000E04F0" w:rsidP="000E04F0">
      <w:r>
        <w:rPr>
          <w:rFonts w:hint="eastAsia"/>
        </w:rPr>
        <w:t xml:space="preserve">　　　➡多機関協働支援を行なうための</w:t>
      </w:r>
      <w:r w:rsidR="00D92A8F">
        <w:rPr>
          <w:rFonts w:hint="eastAsia"/>
        </w:rPr>
        <w:t>関係機関で共通して利活用するチェックシート</w:t>
      </w:r>
      <w:r>
        <w:rPr>
          <w:rFonts w:hint="eastAsia"/>
        </w:rPr>
        <w:t>等の整備</w:t>
      </w:r>
    </w:p>
    <w:p w:rsidR="00D92631" w:rsidRDefault="000C0234" w:rsidP="000C0234">
      <w:pPr>
        <w:ind w:firstLineChars="100" w:firstLine="210"/>
      </w:pPr>
      <w:r>
        <w:rPr>
          <w:rFonts w:hint="eastAsia"/>
        </w:rPr>
        <w:t xml:space="preserve">　・</w:t>
      </w:r>
      <w:r w:rsidR="00814BF3">
        <w:rPr>
          <w:rFonts w:hint="eastAsia"/>
        </w:rPr>
        <w:t>自殺</w:t>
      </w:r>
      <w:r w:rsidR="00D92631">
        <w:rPr>
          <w:rFonts w:hint="eastAsia"/>
        </w:rPr>
        <w:t>未遂者等ハイリスク者</w:t>
      </w:r>
      <w:r w:rsidR="00CA1636">
        <w:rPr>
          <w:rFonts w:hint="eastAsia"/>
        </w:rPr>
        <w:t>への</w:t>
      </w:r>
      <w:r w:rsidR="00D92631">
        <w:rPr>
          <w:rFonts w:hint="eastAsia"/>
        </w:rPr>
        <w:t>個別</w:t>
      </w:r>
      <w:r w:rsidR="00CA1636">
        <w:rPr>
          <w:rFonts w:hint="eastAsia"/>
        </w:rPr>
        <w:t>相談</w:t>
      </w:r>
      <w:r w:rsidR="00D92631">
        <w:rPr>
          <w:rFonts w:hint="eastAsia"/>
        </w:rPr>
        <w:t>支援</w:t>
      </w:r>
    </w:p>
    <w:p w:rsidR="00CA1636" w:rsidRDefault="00D92631" w:rsidP="00CA1636">
      <w:pPr>
        <w:ind w:firstLineChars="300" w:firstLine="630"/>
      </w:pPr>
      <w:r>
        <w:rPr>
          <w:rFonts w:hint="eastAsia"/>
        </w:rPr>
        <w:t>➡</w:t>
      </w:r>
      <w:r w:rsidR="00814BF3">
        <w:rPr>
          <w:rFonts w:hint="eastAsia"/>
        </w:rPr>
        <w:t>自</w:t>
      </w:r>
      <w:r w:rsidR="00C91162">
        <w:rPr>
          <w:rFonts w:hint="eastAsia"/>
        </w:rPr>
        <w:t>未遂者等ハイリスク者の</w:t>
      </w:r>
      <w:r w:rsidR="00EB6F99">
        <w:rPr>
          <w:rFonts w:hint="eastAsia"/>
        </w:rPr>
        <w:t>背景や</w:t>
      </w:r>
      <w:r w:rsidR="00CA1636">
        <w:rPr>
          <w:rFonts w:hint="eastAsia"/>
        </w:rPr>
        <w:t>生きることの促進／阻害</w:t>
      </w:r>
      <w:r w:rsidR="00EB6F99">
        <w:rPr>
          <w:rFonts w:hint="eastAsia"/>
        </w:rPr>
        <w:t>要因に合せて</w:t>
      </w:r>
      <w:r w:rsidR="007F4F6E">
        <w:rPr>
          <w:rFonts w:hint="eastAsia"/>
        </w:rPr>
        <w:t>，</w:t>
      </w:r>
      <w:r w:rsidR="00CA1636">
        <w:rPr>
          <w:rFonts w:hint="eastAsia"/>
        </w:rPr>
        <w:t>多機関・多領域</w:t>
      </w:r>
    </w:p>
    <w:p w:rsidR="000C0234" w:rsidRDefault="00CA1636" w:rsidP="00CA1636">
      <w:pPr>
        <w:ind w:firstLineChars="300" w:firstLine="630"/>
      </w:pPr>
      <w:r>
        <w:rPr>
          <w:rFonts w:hint="eastAsia"/>
        </w:rPr>
        <w:t>（</w:t>
      </w:r>
      <w:r w:rsidR="00D92631">
        <w:rPr>
          <w:rFonts w:hint="eastAsia"/>
        </w:rPr>
        <w:t>医療</w:t>
      </w:r>
      <w:r w:rsidR="007F4F6E">
        <w:rPr>
          <w:rFonts w:hint="eastAsia"/>
        </w:rPr>
        <w:t>，</w:t>
      </w:r>
      <w:r w:rsidR="00D92631">
        <w:rPr>
          <w:rFonts w:hint="eastAsia"/>
        </w:rPr>
        <w:t>保健</w:t>
      </w:r>
      <w:r w:rsidR="007F4F6E">
        <w:rPr>
          <w:rFonts w:hint="eastAsia"/>
        </w:rPr>
        <w:t>，</w:t>
      </w:r>
      <w:r>
        <w:rPr>
          <w:rFonts w:hint="eastAsia"/>
        </w:rPr>
        <w:t>福祉</w:t>
      </w:r>
      <w:r w:rsidR="007F4F6E">
        <w:rPr>
          <w:rFonts w:hint="eastAsia"/>
        </w:rPr>
        <w:t>，</w:t>
      </w:r>
      <w:r>
        <w:rPr>
          <w:rFonts w:hint="eastAsia"/>
        </w:rPr>
        <w:t>産業</w:t>
      </w:r>
      <w:r w:rsidR="007F4F6E">
        <w:rPr>
          <w:rFonts w:hint="eastAsia"/>
        </w:rPr>
        <w:t>，</w:t>
      </w:r>
      <w:r>
        <w:rPr>
          <w:rFonts w:hint="eastAsia"/>
        </w:rPr>
        <w:t>生活支援など）を統合し</w:t>
      </w:r>
      <w:r w:rsidR="007F4F6E">
        <w:rPr>
          <w:rFonts w:hint="eastAsia"/>
        </w:rPr>
        <w:t>，</w:t>
      </w:r>
      <w:r>
        <w:rPr>
          <w:rFonts w:hint="eastAsia"/>
        </w:rPr>
        <w:t>一貫性・継続性のある支援を</w:t>
      </w:r>
      <w:r w:rsidR="000A4A53">
        <w:rPr>
          <w:rFonts w:hint="eastAsia"/>
        </w:rPr>
        <w:t>提供</w:t>
      </w:r>
    </w:p>
    <w:p w:rsidR="00C71D3C" w:rsidRDefault="00C71D3C" w:rsidP="00C71D3C">
      <w:r>
        <w:rPr>
          <w:rFonts w:hint="eastAsia"/>
        </w:rPr>
        <w:t xml:space="preserve">　　・</w:t>
      </w:r>
      <w:r w:rsidR="00814BF3">
        <w:rPr>
          <w:rFonts w:hint="eastAsia"/>
        </w:rPr>
        <w:t>自殺</w:t>
      </w:r>
      <w:r>
        <w:rPr>
          <w:rFonts w:hint="eastAsia"/>
        </w:rPr>
        <w:t>未遂者等ハイリスク者支援に関わる人材育成の促進と共通認識の深化</w:t>
      </w:r>
    </w:p>
    <w:p w:rsidR="00C71D3C" w:rsidRDefault="00C71D3C" w:rsidP="00C71D3C">
      <w:r>
        <w:rPr>
          <w:rFonts w:hint="eastAsia"/>
        </w:rPr>
        <w:t xml:space="preserve">　　　➡各種研修に対して</w:t>
      </w:r>
      <w:r w:rsidR="007F4F6E">
        <w:rPr>
          <w:rFonts w:hint="eastAsia"/>
        </w:rPr>
        <w:t>，</w:t>
      </w:r>
      <w:r>
        <w:rPr>
          <w:rFonts w:hint="eastAsia"/>
        </w:rPr>
        <w:t>上記のネットワークや個別相談支援で蓄積した経験を還元し</w:t>
      </w:r>
      <w:r w:rsidR="007F4F6E">
        <w:rPr>
          <w:rFonts w:hint="eastAsia"/>
        </w:rPr>
        <w:t>，</w:t>
      </w:r>
    </w:p>
    <w:p w:rsidR="00C71D3C" w:rsidRDefault="00C71D3C" w:rsidP="00C71D3C">
      <w:pPr>
        <w:ind w:firstLineChars="400" w:firstLine="840"/>
      </w:pPr>
      <w:r>
        <w:rPr>
          <w:rFonts w:hint="eastAsia"/>
        </w:rPr>
        <w:t>より体系化された研修体系へ。また</w:t>
      </w:r>
      <w:r w:rsidR="007F4F6E">
        <w:rPr>
          <w:rFonts w:hint="eastAsia"/>
        </w:rPr>
        <w:t>，</w:t>
      </w:r>
      <w:r>
        <w:rPr>
          <w:rFonts w:hint="eastAsia"/>
        </w:rPr>
        <w:t>「生きることの促進要因」をキーワードにした</w:t>
      </w:r>
    </w:p>
    <w:p w:rsidR="00C71D3C" w:rsidRDefault="00C71D3C" w:rsidP="00C71D3C">
      <w:pPr>
        <w:ind w:firstLineChars="400" w:firstLine="840"/>
      </w:pPr>
      <w:r>
        <w:rPr>
          <w:rFonts w:hint="eastAsia"/>
        </w:rPr>
        <w:t>各種相談支援機関職員の自死対策に係る認識（事例の捉え方など）を共通のものへ。</w:t>
      </w:r>
    </w:p>
    <w:p w:rsidR="000E04F0" w:rsidRPr="00C71D3C" w:rsidRDefault="000E04F0" w:rsidP="000E04F0"/>
    <w:p w:rsidR="000C0234" w:rsidRDefault="00D92A8F" w:rsidP="000C0234">
      <w:pPr>
        <w:ind w:leftChars="100" w:left="210"/>
      </w:pPr>
      <w:r>
        <w:rPr>
          <w:rFonts w:hint="eastAsia"/>
        </w:rPr>
        <w:t>②今後の取組</w:t>
      </w:r>
      <w:r w:rsidR="00814BF3">
        <w:rPr>
          <w:rFonts w:hint="eastAsia"/>
        </w:rPr>
        <w:t>み内容</w:t>
      </w:r>
    </w:p>
    <w:tbl>
      <w:tblPr>
        <w:tblStyle w:val="a3"/>
        <w:tblW w:w="9781"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3260"/>
        <w:gridCol w:w="6521"/>
      </w:tblGrid>
      <w:tr w:rsidR="000C0234" w:rsidTr="00D6569E">
        <w:tc>
          <w:tcPr>
            <w:tcW w:w="3260" w:type="dxa"/>
            <w:tcBorders>
              <w:top w:val="single" w:sz="12" w:space="0" w:color="auto"/>
              <w:bottom w:val="single" w:sz="12" w:space="0" w:color="auto"/>
            </w:tcBorders>
          </w:tcPr>
          <w:p w:rsidR="000C0234" w:rsidRDefault="00814BF3" w:rsidP="00C027FA">
            <w:pPr>
              <w:jc w:val="center"/>
            </w:pPr>
            <w:r>
              <w:rPr>
                <w:rFonts w:hint="eastAsia"/>
              </w:rPr>
              <w:t>計画上の柱</w:t>
            </w:r>
          </w:p>
        </w:tc>
        <w:tc>
          <w:tcPr>
            <w:tcW w:w="6521" w:type="dxa"/>
            <w:tcBorders>
              <w:top w:val="single" w:sz="12" w:space="0" w:color="auto"/>
              <w:bottom w:val="single" w:sz="12" w:space="0" w:color="auto"/>
            </w:tcBorders>
          </w:tcPr>
          <w:p w:rsidR="000C0234" w:rsidRDefault="000C0234" w:rsidP="00C027FA">
            <w:pPr>
              <w:jc w:val="center"/>
            </w:pPr>
            <w:r>
              <w:rPr>
                <w:rFonts w:hint="eastAsia"/>
              </w:rPr>
              <w:t>取組</w:t>
            </w:r>
            <w:r w:rsidR="00AD298F">
              <w:rPr>
                <w:rFonts w:hint="eastAsia"/>
              </w:rPr>
              <w:t>み</w:t>
            </w:r>
            <w:r w:rsidR="00814BF3">
              <w:rPr>
                <w:rFonts w:hint="eastAsia"/>
              </w:rPr>
              <w:t>内容</w:t>
            </w:r>
          </w:p>
        </w:tc>
      </w:tr>
      <w:tr w:rsidR="000C0234" w:rsidTr="00D6569E">
        <w:trPr>
          <w:trHeight w:val="2595"/>
        </w:trPr>
        <w:tc>
          <w:tcPr>
            <w:tcW w:w="3260" w:type="dxa"/>
            <w:tcBorders>
              <w:top w:val="single" w:sz="12" w:space="0" w:color="auto"/>
            </w:tcBorders>
            <w:vAlign w:val="center"/>
          </w:tcPr>
          <w:p w:rsidR="00C45B5D" w:rsidRPr="00A74FC4" w:rsidRDefault="00C45B5D" w:rsidP="003B4787">
            <w:pPr>
              <w:spacing w:line="-220" w:lineRule="auto"/>
              <w:rPr>
                <w:rFonts w:asciiTheme="majorEastAsia" w:eastAsiaTheme="majorEastAsia" w:hAnsiTheme="majorEastAsia" w:cs="メイリオ"/>
              </w:rPr>
            </w:pPr>
            <w:r w:rsidRPr="00A74FC4">
              <w:rPr>
                <w:rFonts w:asciiTheme="majorEastAsia" w:eastAsiaTheme="majorEastAsia" w:hAnsiTheme="majorEastAsia" w:cs="メイリオ" w:hint="eastAsia"/>
              </w:rPr>
              <w:t>一人ひとりの気づきと</w:t>
            </w:r>
          </w:p>
          <w:p w:rsidR="000C0234" w:rsidRPr="00A74FC4" w:rsidRDefault="00C45B5D" w:rsidP="003B4787">
            <w:pPr>
              <w:spacing w:line="-220" w:lineRule="auto"/>
              <w:jc w:val="left"/>
              <w:rPr>
                <w:rFonts w:asciiTheme="majorEastAsia" w:eastAsiaTheme="majorEastAsia" w:hAnsiTheme="majorEastAsia"/>
                <w:sz w:val="20"/>
                <w:szCs w:val="20"/>
              </w:rPr>
            </w:pPr>
            <w:r w:rsidRPr="00A74FC4">
              <w:rPr>
                <w:rFonts w:asciiTheme="majorEastAsia" w:eastAsiaTheme="majorEastAsia" w:hAnsiTheme="majorEastAsia" w:cs="メイリオ" w:hint="eastAsia"/>
              </w:rPr>
              <w:t>見守りの推進</w:t>
            </w:r>
          </w:p>
        </w:tc>
        <w:tc>
          <w:tcPr>
            <w:tcW w:w="6521" w:type="dxa"/>
            <w:tcBorders>
              <w:top w:val="single" w:sz="12" w:space="0" w:color="auto"/>
            </w:tcBorders>
            <w:vAlign w:val="center"/>
          </w:tcPr>
          <w:p w:rsidR="00B843B0" w:rsidRPr="00A74FC4" w:rsidRDefault="00B843B0" w:rsidP="0086615F">
            <w:pPr>
              <w:spacing w:line="240" w:lineRule="exact"/>
              <w:ind w:left="210" w:hangingChars="100" w:hanging="210"/>
              <w:rPr>
                <w:rFonts w:asciiTheme="majorEastAsia" w:eastAsiaTheme="majorEastAsia" w:hAnsiTheme="majorEastAsia"/>
              </w:rPr>
            </w:pPr>
            <w:r w:rsidRPr="00A74FC4">
              <w:rPr>
                <w:rFonts w:asciiTheme="majorEastAsia" w:eastAsiaTheme="majorEastAsia" w:hAnsiTheme="majorEastAsia" w:hint="eastAsia"/>
              </w:rPr>
              <w:t>❏</w:t>
            </w:r>
            <w:r w:rsidR="00863870" w:rsidRPr="00A74FC4">
              <w:rPr>
                <w:rFonts w:asciiTheme="majorEastAsia" w:eastAsiaTheme="majorEastAsia" w:hAnsiTheme="majorEastAsia" w:cs="メイリオ" w:hint="eastAsia"/>
              </w:rPr>
              <w:t>多機関によるネットワーク形成を通じた</w:t>
            </w:r>
            <w:r w:rsidR="00A63684" w:rsidRPr="00A74FC4">
              <w:rPr>
                <w:rFonts w:asciiTheme="majorEastAsia" w:eastAsiaTheme="majorEastAsia" w:hAnsiTheme="majorEastAsia" w:cs="メイリオ" w:hint="eastAsia"/>
              </w:rPr>
              <w:t>相談支援体</w:t>
            </w:r>
            <w:r w:rsidRPr="00A74FC4">
              <w:rPr>
                <w:rFonts w:asciiTheme="majorEastAsia" w:eastAsiaTheme="majorEastAsia" w:hAnsiTheme="majorEastAsia" w:cs="メイリオ" w:hint="eastAsia"/>
              </w:rPr>
              <w:t>制の構築</w:t>
            </w:r>
          </w:p>
          <w:p w:rsidR="000C0234" w:rsidRDefault="00B843B0" w:rsidP="0086615F">
            <w:pPr>
              <w:ind w:leftChars="100" w:left="420" w:hangingChars="100" w:hanging="210"/>
              <w:rPr>
                <w:rFonts w:ascii="Bookman Old Style" w:hAnsi="Bookman Old Style"/>
              </w:rPr>
            </w:pPr>
            <w:r>
              <w:rPr>
                <w:rFonts w:ascii="Bookman Old Style" w:hAnsi="Bookman Old Style" w:hint="eastAsia"/>
              </w:rPr>
              <w:t>➡本人</w:t>
            </w:r>
            <w:r w:rsidR="0086615F">
              <w:rPr>
                <w:rFonts w:ascii="Bookman Old Style" w:hAnsi="Bookman Old Style" w:hint="eastAsia"/>
              </w:rPr>
              <w:t>や家族</w:t>
            </w:r>
            <w:r>
              <w:rPr>
                <w:rFonts w:ascii="Bookman Old Style" w:hAnsi="Bookman Old Style" w:hint="eastAsia"/>
              </w:rPr>
              <w:t>が身近にある相談機関に接触した際</w:t>
            </w:r>
            <w:r w:rsidR="007F4F6E">
              <w:rPr>
                <w:rFonts w:ascii="Bookman Old Style" w:hAnsi="Bookman Old Style" w:hint="eastAsia"/>
              </w:rPr>
              <w:t>，</w:t>
            </w:r>
            <w:r>
              <w:rPr>
                <w:rFonts w:ascii="Bookman Old Style" w:hAnsi="Bookman Old Style" w:hint="eastAsia"/>
              </w:rPr>
              <w:t>多機関が繋がりあって</w:t>
            </w:r>
            <w:r w:rsidR="007F4F6E">
              <w:rPr>
                <w:rFonts w:ascii="Bookman Old Style" w:hAnsi="Bookman Old Style" w:hint="eastAsia"/>
              </w:rPr>
              <w:t>，</w:t>
            </w:r>
            <w:r>
              <w:rPr>
                <w:rFonts w:ascii="Bookman Old Style" w:hAnsi="Bookman Old Style" w:hint="eastAsia"/>
              </w:rPr>
              <w:t>生きることの促進／阻害要因に合せて</w:t>
            </w:r>
            <w:r w:rsidR="007F4F6E">
              <w:rPr>
                <w:rFonts w:ascii="Bookman Old Style" w:hAnsi="Bookman Old Style" w:hint="eastAsia"/>
              </w:rPr>
              <w:t>，</w:t>
            </w:r>
            <w:r w:rsidR="00185CF9">
              <w:rPr>
                <w:rFonts w:ascii="Bookman Old Style" w:hAnsi="Bookman Old Style" w:hint="eastAsia"/>
              </w:rPr>
              <w:t>適切な</w:t>
            </w:r>
            <w:r w:rsidR="00A63684">
              <w:rPr>
                <w:rFonts w:ascii="Bookman Old Style" w:hAnsi="Bookman Old Style" w:hint="eastAsia"/>
              </w:rPr>
              <w:t>支援</w:t>
            </w:r>
            <w:r>
              <w:rPr>
                <w:rFonts w:ascii="Bookman Old Style" w:hAnsi="Bookman Old Style" w:hint="eastAsia"/>
              </w:rPr>
              <w:t>を提供できる</w:t>
            </w:r>
            <w:r w:rsidR="00185CF9">
              <w:rPr>
                <w:rFonts w:ascii="Bookman Old Style" w:hAnsi="Bookman Old Style" w:hint="eastAsia"/>
              </w:rPr>
              <w:t>体制</w:t>
            </w:r>
          </w:p>
          <w:p w:rsidR="008F119D" w:rsidRDefault="006434F4" w:rsidP="0086615F">
            <w:pPr>
              <w:rPr>
                <w:rFonts w:ascii="Bookman Old Style" w:hAnsi="Bookman Old Style"/>
              </w:rPr>
            </w:pPr>
            <w:r>
              <w:rPr>
                <w:rFonts w:ascii="Bookman Old Style" w:hAnsi="Bookman Old Style" w:hint="eastAsia"/>
              </w:rPr>
              <w:t>（具体例）</w:t>
            </w:r>
          </w:p>
          <w:p w:rsidR="008F119D" w:rsidRDefault="008F119D" w:rsidP="0086615F">
            <w:pPr>
              <w:ind w:leftChars="100" w:left="420" w:hangingChars="100" w:hanging="210"/>
              <w:rPr>
                <w:rFonts w:ascii="Bookman Old Style" w:hAnsi="Bookman Old Style"/>
              </w:rPr>
            </w:pPr>
            <w:r>
              <w:rPr>
                <w:rFonts w:ascii="Bookman Old Style" w:hAnsi="Bookman Old Style" w:hint="eastAsia"/>
              </w:rPr>
              <w:t xml:space="preserve">　・</w:t>
            </w:r>
            <w:r w:rsidR="006434F4">
              <w:rPr>
                <w:rFonts w:ascii="Bookman Old Style" w:hAnsi="Bookman Old Style" w:hint="eastAsia"/>
              </w:rPr>
              <w:t>多重債務問題や消費生活相談などに訪れた際に</w:t>
            </w:r>
            <w:r w:rsidR="007F4F6E">
              <w:rPr>
                <w:rFonts w:ascii="Bookman Old Style" w:hAnsi="Bookman Old Style" w:hint="eastAsia"/>
              </w:rPr>
              <w:t>，</w:t>
            </w:r>
            <w:r w:rsidR="006434F4">
              <w:rPr>
                <w:rFonts w:ascii="Bookman Old Style" w:hAnsi="Bookman Old Style" w:hint="eastAsia"/>
              </w:rPr>
              <w:t>必要に</w:t>
            </w:r>
          </w:p>
          <w:p w:rsidR="006434F4" w:rsidRPr="008F119D" w:rsidRDefault="006434F4" w:rsidP="0086615F">
            <w:pPr>
              <w:ind w:leftChars="100" w:left="420" w:hangingChars="100" w:hanging="210"/>
              <w:rPr>
                <w:rFonts w:ascii="Bookman Old Style" w:hAnsi="Bookman Old Style"/>
              </w:rPr>
            </w:pPr>
            <w:r>
              <w:rPr>
                <w:rFonts w:ascii="Bookman Old Style" w:hAnsi="Bookman Old Style" w:hint="eastAsia"/>
              </w:rPr>
              <w:t xml:space="preserve">　　応じて</w:t>
            </w:r>
            <w:r w:rsidR="007F4F6E">
              <w:rPr>
                <w:rFonts w:ascii="Bookman Old Style" w:hAnsi="Bookman Old Style" w:hint="eastAsia"/>
              </w:rPr>
              <w:t>，</w:t>
            </w:r>
            <w:r>
              <w:rPr>
                <w:rFonts w:ascii="Bookman Old Style" w:hAnsi="Bookman Old Style" w:hint="eastAsia"/>
              </w:rPr>
              <w:t>こころの絆センターなどを紹介できる体制</w:t>
            </w:r>
          </w:p>
        </w:tc>
      </w:tr>
      <w:tr w:rsidR="000C0234" w:rsidTr="00D6569E">
        <w:trPr>
          <w:trHeight w:val="1729"/>
        </w:trPr>
        <w:tc>
          <w:tcPr>
            <w:tcW w:w="3260" w:type="dxa"/>
            <w:tcBorders>
              <w:bottom w:val="single" w:sz="4" w:space="0" w:color="auto"/>
            </w:tcBorders>
            <w:vAlign w:val="center"/>
          </w:tcPr>
          <w:p w:rsidR="000C0234" w:rsidRPr="00A74FC4" w:rsidRDefault="00C45B5D" w:rsidP="00C027FA">
            <w:pPr>
              <w:jc w:val="left"/>
              <w:rPr>
                <w:rFonts w:asciiTheme="majorEastAsia" w:eastAsiaTheme="majorEastAsia" w:hAnsiTheme="majorEastAsia"/>
                <w:sz w:val="20"/>
                <w:szCs w:val="20"/>
              </w:rPr>
            </w:pPr>
            <w:r w:rsidRPr="00A74FC4">
              <w:rPr>
                <w:rFonts w:asciiTheme="majorEastAsia" w:eastAsiaTheme="majorEastAsia" w:hAnsiTheme="majorEastAsia" w:cs="メイリオ" w:hint="eastAsia"/>
              </w:rPr>
              <w:t>人材の育成と確保</w:t>
            </w:r>
          </w:p>
        </w:tc>
        <w:tc>
          <w:tcPr>
            <w:tcW w:w="6521" w:type="dxa"/>
            <w:tcBorders>
              <w:bottom w:val="single" w:sz="4" w:space="0" w:color="auto"/>
            </w:tcBorders>
            <w:vAlign w:val="center"/>
          </w:tcPr>
          <w:p w:rsidR="00B843B0" w:rsidRPr="00A74FC4" w:rsidRDefault="00B843B0" w:rsidP="0086615F">
            <w:pPr>
              <w:spacing w:line="240" w:lineRule="exact"/>
              <w:ind w:left="210" w:hangingChars="100" w:hanging="210"/>
              <w:rPr>
                <w:rFonts w:asciiTheme="majorEastAsia" w:eastAsiaTheme="majorEastAsia" w:hAnsiTheme="majorEastAsia"/>
              </w:rPr>
            </w:pPr>
            <w:r w:rsidRPr="00A74FC4">
              <w:rPr>
                <w:rFonts w:asciiTheme="majorEastAsia" w:eastAsiaTheme="majorEastAsia" w:hAnsiTheme="majorEastAsia" w:hint="eastAsia"/>
              </w:rPr>
              <w:t>❏</w:t>
            </w:r>
            <w:r w:rsidR="00A63684" w:rsidRPr="00A74FC4">
              <w:rPr>
                <w:rFonts w:asciiTheme="majorEastAsia" w:eastAsiaTheme="majorEastAsia" w:hAnsiTheme="majorEastAsia" w:cs="メイリオ" w:hint="eastAsia"/>
              </w:rPr>
              <w:t>自死のリスク要因に関する研修の体系化</w:t>
            </w:r>
            <w:r w:rsidR="00863870" w:rsidRPr="00A74FC4">
              <w:rPr>
                <w:rFonts w:asciiTheme="majorEastAsia" w:eastAsiaTheme="majorEastAsia" w:hAnsiTheme="majorEastAsia" w:cs="メイリオ" w:hint="eastAsia"/>
              </w:rPr>
              <w:t>と個別相談</w:t>
            </w:r>
            <w:r w:rsidRPr="00A74FC4">
              <w:rPr>
                <w:rFonts w:asciiTheme="majorEastAsia" w:eastAsiaTheme="majorEastAsia" w:hAnsiTheme="majorEastAsia" w:cs="メイリオ" w:hint="eastAsia"/>
              </w:rPr>
              <w:t>支援からの還元</w:t>
            </w:r>
          </w:p>
          <w:p w:rsidR="000C0234" w:rsidRPr="001D36C8" w:rsidRDefault="00B843B0" w:rsidP="0086615F">
            <w:pPr>
              <w:ind w:leftChars="100" w:left="420" w:hangingChars="100" w:hanging="210"/>
              <w:rPr>
                <w:rFonts w:ascii="Bookman Old Style" w:hAnsi="Bookman Old Style"/>
              </w:rPr>
            </w:pPr>
            <w:r>
              <w:rPr>
                <w:rFonts w:ascii="Bookman Old Style" w:hAnsi="Bookman Old Style" w:hint="eastAsia"/>
              </w:rPr>
              <w:t>➡</w:t>
            </w:r>
            <w:r w:rsidR="00B5189F">
              <w:rPr>
                <w:rFonts w:ascii="Bookman Old Style" w:hAnsi="Bookman Old Style" w:hint="eastAsia"/>
              </w:rPr>
              <w:t>必要な知識や</w:t>
            </w:r>
            <w:r>
              <w:rPr>
                <w:rFonts w:ascii="Bookman Old Style" w:hAnsi="Bookman Old Style" w:hint="eastAsia"/>
              </w:rPr>
              <w:t>態度の蓄積と関係機関への普及</w:t>
            </w:r>
            <w:r w:rsidR="00863870">
              <w:rPr>
                <w:rFonts w:ascii="Bookman Old Style" w:hAnsi="Bookman Old Style" w:hint="eastAsia"/>
              </w:rPr>
              <w:t>／課題共有の場や共通で利活用できるリスクチェックシートなどの整備を通じ</w:t>
            </w:r>
            <w:r w:rsidR="007F4F6E">
              <w:rPr>
                <w:rFonts w:ascii="Bookman Old Style" w:hAnsi="Bookman Old Style" w:hint="eastAsia"/>
              </w:rPr>
              <w:t>，</w:t>
            </w:r>
            <w:r w:rsidR="00863870">
              <w:rPr>
                <w:rFonts w:ascii="Bookman Old Style" w:hAnsi="Bookman Old Style" w:hint="eastAsia"/>
              </w:rPr>
              <w:t>各相談支援機関の人材が連動できるように。</w:t>
            </w:r>
          </w:p>
        </w:tc>
      </w:tr>
      <w:tr w:rsidR="000C0234" w:rsidTr="00D6569E">
        <w:trPr>
          <w:trHeight w:val="3769"/>
        </w:trPr>
        <w:tc>
          <w:tcPr>
            <w:tcW w:w="3260" w:type="dxa"/>
            <w:tcBorders>
              <w:bottom w:val="single" w:sz="12" w:space="0" w:color="auto"/>
            </w:tcBorders>
            <w:vAlign w:val="center"/>
          </w:tcPr>
          <w:p w:rsidR="000C0234" w:rsidRDefault="00C45B5D" w:rsidP="00C45B5D">
            <w:pPr>
              <w:jc w:val="left"/>
              <w:rPr>
                <w:rFonts w:asciiTheme="majorEastAsia" w:eastAsiaTheme="majorEastAsia" w:hAnsiTheme="majorEastAsia" w:cs="メイリオ"/>
              </w:rPr>
            </w:pPr>
            <w:r w:rsidRPr="00A74FC4">
              <w:rPr>
                <w:rFonts w:asciiTheme="majorEastAsia" w:eastAsiaTheme="majorEastAsia" w:hAnsiTheme="majorEastAsia" w:cs="メイリオ" w:hint="eastAsia"/>
              </w:rPr>
              <w:t>対象に応じた支援の充実</w:t>
            </w:r>
          </w:p>
          <w:p w:rsidR="00A74FC4" w:rsidRDefault="00A74FC4" w:rsidP="00C45B5D">
            <w:pPr>
              <w:jc w:val="left"/>
              <w:rPr>
                <w:rFonts w:asciiTheme="majorEastAsia" w:eastAsiaTheme="majorEastAsia" w:hAnsiTheme="majorEastAsia" w:cs="メイリオ"/>
              </w:rPr>
            </w:pPr>
          </w:p>
          <w:p w:rsidR="00A74FC4" w:rsidRPr="00A74FC4" w:rsidRDefault="00A74FC4" w:rsidP="00C45B5D">
            <w:pPr>
              <w:jc w:val="left"/>
              <w:rPr>
                <w:rFonts w:asciiTheme="majorEastAsia" w:eastAsiaTheme="majorEastAsia" w:hAnsiTheme="majorEastAsia"/>
                <w:sz w:val="20"/>
                <w:szCs w:val="20"/>
              </w:rPr>
            </w:pPr>
            <w:bookmarkStart w:id="0" w:name="_GoBack"/>
          </w:p>
          <w:bookmarkEnd w:id="0"/>
          <w:p w:rsidR="00C45B5D" w:rsidRPr="00A74FC4" w:rsidRDefault="00C45B5D" w:rsidP="003B4787">
            <w:pPr>
              <w:spacing w:line="220" w:lineRule="exact"/>
              <w:rPr>
                <w:rFonts w:asciiTheme="majorEastAsia" w:eastAsiaTheme="majorEastAsia" w:hAnsiTheme="majorEastAsia" w:cs="メイリオ"/>
              </w:rPr>
            </w:pPr>
            <w:r w:rsidRPr="00A74FC4">
              <w:rPr>
                <w:rFonts w:asciiTheme="majorEastAsia" w:eastAsiaTheme="majorEastAsia" w:hAnsiTheme="majorEastAsia" w:cs="メイリオ" w:hint="eastAsia"/>
              </w:rPr>
              <w:t>自死の予防に関するネット</w:t>
            </w:r>
          </w:p>
          <w:p w:rsidR="00C45B5D" w:rsidRPr="00A74FC4" w:rsidRDefault="00C45B5D" w:rsidP="003B4787">
            <w:pPr>
              <w:spacing w:line="-220" w:lineRule="auto"/>
              <w:jc w:val="left"/>
              <w:rPr>
                <w:rFonts w:asciiTheme="majorEastAsia" w:eastAsiaTheme="majorEastAsia" w:hAnsiTheme="majorEastAsia"/>
                <w:sz w:val="20"/>
                <w:szCs w:val="20"/>
              </w:rPr>
            </w:pPr>
            <w:r w:rsidRPr="00A74FC4">
              <w:rPr>
                <w:rFonts w:asciiTheme="majorEastAsia" w:eastAsiaTheme="majorEastAsia" w:hAnsiTheme="majorEastAsia" w:cs="メイリオ" w:hint="eastAsia"/>
              </w:rPr>
              <w:t>ワークの構築と効果的連携</w:t>
            </w:r>
          </w:p>
        </w:tc>
        <w:tc>
          <w:tcPr>
            <w:tcW w:w="6521" w:type="dxa"/>
            <w:tcBorders>
              <w:bottom w:val="single" w:sz="12" w:space="0" w:color="auto"/>
            </w:tcBorders>
            <w:vAlign w:val="center"/>
          </w:tcPr>
          <w:p w:rsidR="00A63684" w:rsidRPr="00A74FC4" w:rsidRDefault="00B843B0" w:rsidP="0086615F">
            <w:pPr>
              <w:spacing w:line="-240" w:lineRule="auto"/>
              <w:ind w:left="210" w:hangingChars="100" w:hanging="210"/>
              <w:rPr>
                <w:rFonts w:asciiTheme="majorEastAsia" w:eastAsiaTheme="majorEastAsia" w:hAnsiTheme="majorEastAsia"/>
              </w:rPr>
            </w:pPr>
            <w:r w:rsidRPr="00A74FC4">
              <w:rPr>
                <w:rFonts w:asciiTheme="majorEastAsia" w:eastAsiaTheme="majorEastAsia" w:hAnsiTheme="majorEastAsia" w:hint="eastAsia"/>
              </w:rPr>
              <w:t>❏</w:t>
            </w:r>
            <w:r w:rsidR="00A63684" w:rsidRPr="00A74FC4">
              <w:rPr>
                <w:rFonts w:asciiTheme="majorEastAsia" w:eastAsiaTheme="majorEastAsia" w:hAnsiTheme="majorEastAsia" w:cs="メイリオ" w:hint="eastAsia"/>
              </w:rPr>
              <w:t>多機関協働支援</w:t>
            </w:r>
            <w:r w:rsidRPr="00A74FC4">
              <w:rPr>
                <w:rFonts w:asciiTheme="majorEastAsia" w:eastAsiaTheme="majorEastAsia" w:hAnsiTheme="majorEastAsia" w:cs="メイリオ" w:hint="eastAsia"/>
              </w:rPr>
              <w:t>のための</w:t>
            </w:r>
            <w:r w:rsidR="00A63684" w:rsidRPr="00A74FC4">
              <w:rPr>
                <w:rFonts w:asciiTheme="majorEastAsia" w:eastAsiaTheme="majorEastAsia" w:hAnsiTheme="majorEastAsia" w:cs="メイリオ" w:hint="eastAsia"/>
              </w:rPr>
              <w:t>実働的なネットワークの形成</w:t>
            </w:r>
          </w:p>
          <w:p w:rsidR="00B843B0" w:rsidRDefault="00B843B0" w:rsidP="0086615F">
            <w:pPr>
              <w:ind w:left="420" w:hangingChars="200" w:hanging="420"/>
            </w:pPr>
            <w:r>
              <w:rPr>
                <w:rFonts w:hint="eastAsia"/>
              </w:rPr>
              <w:t xml:space="preserve">　</w:t>
            </w:r>
            <w:r w:rsidR="00C45B5D">
              <w:rPr>
                <w:rFonts w:hint="eastAsia"/>
              </w:rPr>
              <w:t>➡これまで</w:t>
            </w:r>
            <w:r w:rsidR="00D6569E">
              <w:rPr>
                <w:rFonts w:hint="eastAsia"/>
              </w:rPr>
              <w:t>自殺</w:t>
            </w:r>
            <w:r w:rsidR="00C45B5D">
              <w:rPr>
                <w:rFonts w:hint="eastAsia"/>
              </w:rPr>
              <w:t>未遂者等ハ</w:t>
            </w:r>
            <w:r w:rsidR="007057C3">
              <w:rPr>
                <w:rFonts w:hint="eastAsia"/>
              </w:rPr>
              <w:t>イリスク者支援に特化したネットワークは存在していなかったが</w:t>
            </w:r>
            <w:r w:rsidR="007F4F6E">
              <w:rPr>
                <w:rFonts w:hint="eastAsia"/>
              </w:rPr>
              <w:t>，</w:t>
            </w:r>
            <w:r w:rsidR="007057C3">
              <w:rPr>
                <w:rFonts w:hint="eastAsia"/>
              </w:rPr>
              <w:t>自殺</w:t>
            </w:r>
            <w:r w:rsidR="00C45B5D">
              <w:rPr>
                <w:rFonts w:hint="eastAsia"/>
              </w:rPr>
              <w:t>対策の一環として</w:t>
            </w:r>
            <w:r w:rsidR="007F4F6E">
              <w:rPr>
                <w:rFonts w:hint="eastAsia"/>
              </w:rPr>
              <w:t>，</w:t>
            </w:r>
            <w:r w:rsidR="00C45B5D">
              <w:rPr>
                <w:rFonts w:hint="eastAsia"/>
              </w:rPr>
              <w:t>特に協働支援で共通で利用できるチェックシートの開発や具体的な事例検討を通じての課題の共有などを行うためのネットワークが必要</w:t>
            </w:r>
          </w:p>
          <w:p w:rsidR="000C0234" w:rsidRPr="00A74FC4" w:rsidRDefault="00B843B0" w:rsidP="0086615F">
            <w:pPr>
              <w:spacing w:line="240" w:lineRule="exact"/>
              <w:ind w:left="210" w:hangingChars="100" w:hanging="210"/>
              <w:rPr>
                <w:rFonts w:asciiTheme="majorEastAsia" w:eastAsiaTheme="majorEastAsia" w:hAnsiTheme="majorEastAsia" w:cs="メイリオ"/>
              </w:rPr>
            </w:pPr>
            <w:r w:rsidRPr="00A74FC4">
              <w:rPr>
                <w:rFonts w:asciiTheme="majorEastAsia" w:eastAsiaTheme="majorEastAsia" w:hAnsiTheme="majorEastAsia" w:hint="eastAsia"/>
              </w:rPr>
              <w:t>❏</w:t>
            </w:r>
            <w:r w:rsidR="00D6569E">
              <w:rPr>
                <w:rFonts w:asciiTheme="majorEastAsia" w:eastAsiaTheme="majorEastAsia" w:hAnsiTheme="majorEastAsia" w:hint="eastAsia"/>
              </w:rPr>
              <w:t>自殺</w:t>
            </w:r>
            <w:r w:rsidR="00A63684" w:rsidRPr="00A74FC4">
              <w:rPr>
                <w:rFonts w:asciiTheme="majorEastAsia" w:eastAsiaTheme="majorEastAsia" w:hAnsiTheme="majorEastAsia" w:cs="メイリオ" w:hint="eastAsia"/>
              </w:rPr>
              <w:t>未</w:t>
            </w:r>
            <w:r w:rsidR="00EB6F99" w:rsidRPr="00A74FC4">
              <w:rPr>
                <w:rFonts w:asciiTheme="majorEastAsia" w:eastAsiaTheme="majorEastAsia" w:hAnsiTheme="majorEastAsia" w:cs="メイリオ" w:hint="eastAsia"/>
              </w:rPr>
              <w:t>遂者等ハイリスク者支援の</w:t>
            </w:r>
            <w:r w:rsidR="00863870" w:rsidRPr="00A74FC4">
              <w:rPr>
                <w:rFonts w:asciiTheme="majorEastAsia" w:eastAsiaTheme="majorEastAsia" w:hAnsiTheme="majorEastAsia" w:cs="メイリオ" w:hint="eastAsia"/>
              </w:rPr>
              <w:t>ネットワークを統合するための要</w:t>
            </w:r>
            <w:r w:rsidR="00C45B5D" w:rsidRPr="00A74FC4">
              <w:rPr>
                <w:rFonts w:asciiTheme="majorEastAsia" w:eastAsiaTheme="majorEastAsia" w:hAnsiTheme="majorEastAsia" w:cs="メイリオ" w:hint="eastAsia"/>
              </w:rPr>
              <w:t>としての</w:t>
            </w:r>
            <w:r w:rsidR="00EB6F99" w:rsidRPr="00A74FC4">
              <w:rPr>
                <w:rFonts w:asciiTheme="majorEastAsia" w:eastAsiaTheme="majorEastAsia" w:hAnsiTheme="majorEastAsia" w:cs="メイリオ" w:hint="eastAsia"/>
              </w:rPr>
              <w:t>機能</w:t>
            </w:r>
            <w:r w:rsidR="00F7751C" w:rsidRPr="00A74FC4">
              <w:rPr>
                <w:rFonts w:asciiTheme="majorEastAsia" w:eastAsiaTheme="majorEastAsia" w:hAnsiTheme="majorEastAsia" w:cs="メイリオ" w:hint="eastAsia"/>
              </w:rPr>
              <w:t>の確立</w:t>
            </w:r>
          </w:p>
          <w:p w:rsidR="00C45B5D" w:rsidRPr="00A63684" w:rsidRDefault="00C45B5D" w:rsidP="0086615F">
            <w:pPr>
              <w:ind w:left="420" w:hangingChars="200" w:hanging="420"/>
            </w:pPr>
            <w:r>
              <w:rPr>
                <w:rFonts w:hint="eastAsia"/>
              </w:rPr>
              <w:t xml:space="preserve">　➡</w:t>
            </w:r>
            <w:r w:rsidR="00D6569E">
              <w:rPr>
                <w:rFonts w:hint="eastAsia"/>
              </w:rPr>
              <w:t>自殺</w:t>
            </w:r>
            <w:r>
              <w:rPr>
                <w:rFonts w:hint="eastAsia"/>
              </w:rPr>
              <w:t>未遂者等ハイリスク者支援は</w:t>
            </w:r>
            <w:r w:rsidR="007F4F6E">
              <w:rPr>
                <w:rFonts w:hint="eastAsia"/>
              </w:rPr>
              <w:t>，</w:t>
            </w:r>
            <w:r>
              <w:rPr>
                <w:rFonts w:hint="eastAsia"/>
              </w:rPr>
              <w:t>領域・分野横断的な取組みとなるため</w:t>
            </w:r>
            <w:r w:rsidR="007F4F6E">
              <w:rPr>
                <w:rFonts w:hint="eastAsia"/>
              </w:rPr>
              <w:t>，</w:t>
            </w:r>
            <w:r>
              <w:rPr>
                <w:rFonts w:hint="eastAsia"/>
              </w:rPr>
              <w:t>具体的な事例を一定期間支援し</w:t>
            </w:r>
            <w:r w:rsidR="007F4F6E">
              <w:rPr>
                <w:rFonts w:hint="eastAsia"/>
              </w:rPr>
              <w:t>，</w:t>
            </w:r>
            <w:r>
              <w:rPr>
                <w:rFonts w:hint="eastAsia"/>
              </w:rPr>
              <w:t>必要な相談支援機関などに繋ぎ</w:t>
            </w:r>
            <w:r w:rsidR="007F4F6E">
              <w:rPr>
                <w:rFonts w:hint="eastAsia"/>
              </w:rPr>
              <w:t>，</w:t>
            </w:r>
            <w:r>
              <w:rPr>
                <w:rFonts w:hint="eastAsia"/>
              </w:rPr>
              <w:t>ネットワークを形成する役割や機能が必要</w:t>
            </w:r>
          </w:p>
        </w:tc>
      </w:tr>
    </w:tbl>
    <w:p w:rsidR="00B52300" w:rsidRPr="00D6569E" w:rsidRDefault="00B52300" w:rsidP="0061482E">
      <w:pPr>
        <w:ind w:left="1050" w:hangingChars="500" w:hanging="1050"/>
      </w:pPr>
    </w:p>
    <w:sectPr w:rsidR="00B52300" w:rsidRPr="00D6569E" w:rsidSect="0086615F">
      <w:footerReference w:type="default" r:id="rId9"/>
      <w:pgSz w:w="11906" w:h="16838" w:code="9"/>
      <w:pgMar w:top="1304" w:right="1077" w:bottom="1021" w:left="1077" w:header="851" w:footer="992"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49" w:rsidRDefault="00DC7249" w:rsidP="00FD3367">
      <w:r>
        <w:separator/>
      </w:r>
    </w:p>
  </w:endnote>
  <w:endnote w:type="continuationSeparator" w:id="0">
    <w:p w:rsidR="00DC7249" w:rsidRDefault="00DC7249" w:rsidP="00FD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431862"/>
      <w:docPartObj>
        <w:docPartGallery w:val="Page Numbers (Bottom of Page)"/>
        <w:docPartUnique/>
      </w:docPartObj>
    </w:sdtPr>
    <w:sdtEndPr>
      <w:rPr>
        <w:rFonts w:ascii="Bookman Old Style" w:hAnsi="Bookman Old Style"/>
      </w:rPr>
    </w:sdtEndPr>
    <w:sdtContent>
      <w:p w:rsidR="007D604D" w:rsidRPr="007D604D" w:rsidRDefault="007D604D" w:rsidP="00863C8D">
        <w:pPr>
          <w:pStyle w:val="aa"/>
          <w:jc w:val="center"/>
          <w:rPr>
            <w:rFonts w:ascii="Bookman Old Style" w:hAnsi="Bookman Old Style"/>
          </w:rPr>
        </w:pPr>
        <w:r w:rsidRPr="007D604D">
          <w:rPr>
            <w:rFonts w:ascii="Bookman Old Style" w:hAnsi="Bookman Old Style"/>
          </w:rPr>
          <w:fldChar w:fldCharType="begin"/>
        </w:r>
        <w:r w:rsidRPr="007D604D">
          <w:rPr>
            <w:rFonts w:ascii="Bookman Old Style" w:hAnsi="Bookman Old Style"/>
          </w:rPr>
          <w:instrText>PAGE   \* MERGEFORMAT</w:instrText>
        </w:r>
        <w:r w:rsidRPr="007D604D">
          <w:rPr>
            <w:rFonts w:ascii="Bookman Old Style" w:hAnsi="Bookman Old Style"/>
          </w:rPr>
          <w:fldChar w:fldCharType="separate"/>
        </w:r>
        <w:r w:rsidR="00D6569E" w:rsidRPr="00D6569E">
          <w:rPr>
            <w:rFonts w:ascii="Bookman Old Style" w:hAnsi="Bookman Old Style"/>
            <w:noProof/>
            <w:lang w:val="ja-JP"/>
          </w:rPr>
          <w:t>4</w:t>
        </w:r>
        <w:r w:rsidRPr="007D604D">
          <w:rPr>
            <w:rFonts w:ascii="Bookman Old Style" w:hAnsi="Bookman Old Style"/>
          </w:rPr>
          <w:fldChar w:fldCharType="end"/>
        </w:r>
      </w:p>
    </w:sdtContent>
  </w:sdt>
  <w:p w:rsidR="007D604D" w:rsidRDefault="007D604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49" w:rsidRDefault="00DC7249" w:rsidP="00FD3367">
      <w:r>
        <w:separator/>
      </w:r>
    </w:p>
  </w:footnote>
  <w:footnote w:type="continuationSeparator" w:id="0">
    <w:p w:rsidR="00DC7249" w:rsidRDefault="00DC7249" w:rsidP="00FD3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3B"/>
    <w:rsid w:val="00022993"/>
    <w:rsid w:val="00032FCD"/>
    <w:rsid w:val="00036030"/>
    <w:rsid w:val="00046DDE"/>
    <w:rsid w:val="0005171C"/>
    <w:rsid w:val="000520A8"/>
    <w:rsid w:val="00052A93"/>
    <w:rsid w:val="00053DBE"/>
    <w:rsid w:val="000669FD"/>
    <w:rsid w:val="00075BA4"/>
    <w:rsid w:val="00076702"/>
    <w:rsid w:val="00090CFD"/>
    <w:rsid w:val="00092A7A"/>
    <w:rsid w:val="00095FCA"/>
    <w:rsid w:val="000A4A53"/>
    <w:rsid w:val="000B075F"/>
    <w:rsid w:val="000C0234"/>
    <w:rsid w:val="000C20EB"/>
    <w:rsid w:val="000E04F0"/>
    <w:rsid w:val="000E0C86"/>
    <w:rsid w:val="000F3759"/>
    <w:rsid w:val="00105582"/>
    <w:rsid w:val="00126679"/>
    <w:rsid w:val="001311FE"/>
    <w:rsid w:val="001332F1"/>
    <w:rsid w:val="0013679F"/>
    <w:rsid w:val="00144147"/>
    <w:rsid w:val="00171266"/>
    <w:rsid w:val="00174956"/>
    <w:rsid w:val="001751EE"/>
    <w:rsid w:val="00183674"/>
    <w:rsid w:val="00185CF9"/>
    <w:rsid w:val="001A77FB"/>
    <w:rsid w:val="001B2169"/>
    <w:rsid w:val="001C0217"/>
    <w:rsid w:val="001C741C"/>
    <w:rsid w:val="001D031B"/>
    <w:rsid w:val="001D2B58"/>
    <w:rsid w:val="001D36C8"/>
    <w:rsid w:val="001D41E7"/>
    <w:rsid w:val="001D5505"/>
    <w:rsid w:val="001F3E52"/>
    <w:rsid w:val="001F6642"/>
    <w:rsid w:val="00200D72"/>
    <w:rsid w:val="00202716"/>
    <w:rsid w:val="0020336F"/>
    <w:rsid w:val="00215F9A"/>
    <w:rsid w:val="00234B7B"/>
    <w:rsid w:val="002425ED"/>
    <w:rsid w:val="00247B3F"/>
    <w:rsid w:val="00254E1E"/>
    <w:rsid w:val="00274F3A"/>
    <w:rsid w:val="002928EA"/>
    <w:rsid w:val="00294753"/>
    <w:rsid w:val="002A2B4B"/>
    <w:rsid w:val="002B04CA"/>
    <w:rsid w:val="002D7D33"/>
    <w:rsid w:val="0030464E"/>
    <w:rsid w:val="00307076"/>
    <w:rsid w:val="00307281"/>
    <w:rsid w:val="003162F3"/>
    <w:rsid w:val="00320174"/>
    <w:rsid w:val="00323C99"/>
    <w:rsid w:val="00337A7B"/>
    <w:rsid w:val="00344B00"/>
    <w:rsid w:val="00345856"/>
    <w:rsid w:val="003505B4"/>
    <w:rsid w:val="00354D3F"/>
    <w:rsid w:val="00360A12"/>
    <w:rsid w:val="00381547"/>
    <w:rsid w:val="003863D8"/>
    <w:rsid w:val="00386E09"/>
    <w:rsid w:val="00394BAB"/>
    <w:rsid w:val="00396C31"/>
    <w:rsid w:val="003B4787"/>
    <w:rsid w:val="003B5DC7"/>
    <w:rsid w:val="003D706C"/>
    <w:rsid w:val="003F243B"/>
    <w:rsid w:val="003F4986"/>
    <w:rsid w:val="004049F8"/>
    <w:rsid w:val="00413B55"/>
    <w:rsid w:val="00415320"/>
    <w:rsid w:val="0041579A"/>
    <w:rsid w:val="00425082"/>
    <w:rsid w:val="00447D5D"/>
    <w:rsid w:val="00470F3F"/>
    <w:rsid w:val="004724AC"/>
    <w:rsid w:val="004757B2"/>
    <w:rsid w:val="00477A91"/>
    <w:rsid w:val="00493D2B"/>
    <w:rsid w:val="00496BAC"/>
    <w:rsid w:val="00497A60"/>
    <w:rsid w:val="004A2D85"/>
    <w:rsid w:val="004B14C8"/>
    <w:rsid w:val="004C2569"/>
    <w:rsid w:val="004D1816"/>
    <w:rsid w:val="004D61AC"/>
    <w:rsid w:val="004F663E"/>
    <w:rsid w:val="005004AA"/>
    <w:rsid w:val="0052620F"/>
    <w:rsid w:val="00526B09"/>
    <w:rsid w:val="00537C00"/>
    <w:rsid w:val="00555F55"/>
    <w:rsid w:val="00561322"/>
    <w:rsid w:val="00562312"/>
    <w:rsid w:val="00565F13"/>
    <w:rsid w:val="005A3E20"/>
    <w:rsid w:val="005B2656"/>
    <w:rsid w:val="005B493A"/>
    <w:rsid w:val="005B74BA"/>
    <w:rsid w:val="005C125A"/>
    <w:rsid w:val="005E0501"/>
    <w:rsid w:val="00611F64"/>
    <w:rsid w:val="0061482E"/>
    <w:rsid w:val="0061780D"/>
    <w:rsid w:val="0062692B"/>
    <w:rsid w:val="00626E21"/>
    <w:rsid w:val="00630CC6"/>
    <w:rsid w:val="00632DBA"/>
    <w:rsid w:val="00640D3A"/>
    <w:rsid w:val="006434F4"/>
    <w:rsid w:val="00643CBF"/>
    <w:rsid w:val="00665FD4"/>
    <w:rsid w:val="00673896"/>
    <w:rsid w:val="00677500"/>
    <w:rsid w:val="00692729"/>
    <w:rsid w:val="006A0A8E"/>
    <w:rsid w:val="006A3957"/>
    <w:rsid w:val="006B2DDF"/>
    <w:rsid w:val="006D2C16"/>
    <w:rsid w:val="006F52E6"/>
    <w:rsid w:val="007057C3"/>
    <w:rsid w:val="00711AC6"/>
    <w:rsid w:val="00715329"/>
    <w:rsid w:val="00721D2C"/>
    <w:rsid w:val="007276F5"/>
    <w:rsid w:val="00742DD4"/>
    <w:rsid w:val="007436A1"/>
    <w:rsid w:val="007441F2"/>
    <w:rsid w:val="00753F87"/>
    <w:rsid w:val="00765C12"/>
    <w:rsid w:val="00767E63"/>
    <w:rsid w:val="007772FC"/>
    <w:rsid w:val="00790E16"/>
    <w:rsid w:val="00793399"/>
    <w:rsid w:val="007946E0"/>
    <w:rsid w:val="00794A13"/>
    <w:rsid w:val="00795802"/>
    <w:rsid w:val="00795B59"/>
    <w:rsid w:val="007A716C"/>
    <w:rsid w:val="007B5DF8"/>
    <w:rsid w:val="007C3EAE"/>
    <w:rsid w:val="007C6754"/>
    <w:rsid w:val="007D38B9"/>
    <w:rsid w:val="007D604D"/>
    <w:rsid w:val="007E39A6"/>
    <w:rsid w:val="007E3E7A"/>
    <w:rsid w:val="007F4F6E"/>
    <w:rsid w:val="00800E59"/>
    <w:rsid w:val="008015A0"/>
    <w:rsid w:val="0080363A"/>
    <w:rsid w:val="00814BF3"/>
    <w:rsid w:val="008312B3"/>
    <w:rsid w:val="008354C0"/>
    <w:rsid w:val="00850595"/>
    <w:rsid w:val="008556C9"/>
    <w:rsid w:val="00863861"/>
    <w:rsid w:val="00863870"/>
    <w:rsid w:val="00863C8D"/>
    <w:rsid w:val="0086615F"/>
    <w:rsid w:val="00873147"/>
    <w:rsid w:val="00886EFC"/>
    <w:rsid w:val="00887130"/>
    <w:rsid w:val="00890E10"/>
    <w:rsid w:val="0089585F"/>
    <w:rsid w:val="008A6490"/>
    <w:rsid w:val="008A6518"/>
    <w:rsid w:val="008B507C"/>
    <w:rsid w:val="008E73C3"/>
    <w:rsid w:val="008F119D"/>
    <w:rsid w:val="008F228C"/>
    <w:rsid w:val="00900876"/>
    <w:rsid w:val="009074EB"/>
    <w:rsid w:val="00913CE0"/>
    <w:rsid w:val="00916B79"/>
    <w:rsid w:val="00924E5B"/>
    <w:rsid w:val="00926B5A"/>
    <w:rsid w:val="00930809"/>
    <w:rsid w:val="009670F2"/>
    <w:rsid w:val="00992228"/>
    <w:rsid w:val="0099633B"/>
    <w:rsid w:val="009A098D"/>
    <w:rsid w:val="009C28EC"/>
    <w:rsid w:val="009D1FF8"/>
    <w:rsid w:val="009E3A63"/>
    <w:rsid w:val="009E4AC7"/>
    <w:rsid w:val="009F2072"/>
    <w:rsid w:val="009F6753"/>
    <w:rsid w:val="00A34EA5"/>
    <w:rsid w:val="00A449C0"/>
    <w:rsid w:val="00A52F5E"/>
    <w:rsid w:val="00A549DD"/>
    <w:rsid w:val="00A60BD2"/>
    <w:rsid w:val="00A63684"/>
    <w:rsid w:val="00A638EA"/>
    <w:rsid w:val="00A70C38"/>
    <w:rsid w:val="00A74FC4"/>
    <w:rsid w:val="00A83765"/>
    <w:rsid w:val="00AA349E"/>
    <w:rsid w:val="00AA5391"/>
    <w:rsid w:val="00AA73FA"/>
    <w:rsid w:val="00AB4352"/>
    <w:rsid w:val="00AC4FEF"/>
    <w:rsid w:val="00AC6D04"/>
    <w:rsid w:val="00AD2847"/>
    <w:rsid w:val="00AD298F"/>
    <w:rsid w:val="00AE3773"/>
    <w:rsid w:val="00AE4463"/>
    <w:rsid w:val="00AF4FE5"/>
    <w:rsid w:val="00B03EFA"/>
    <w:rsid w:val="00B103D3"/>
    <w:rsid w:val="00B21C82"/>
    <w:rsid w:val="00B2799C"/>
    <w:rsid w:val="00B30635"/>
    <w:rsid w:val="00B5189F"/>
    <w:rsid w:val="00B52300"/>
    <w:rsid w:val="00B563B9"/>
    <w:rsid w:val="00B604EB"/>
    <w:rsid w:val="00B63CC3"/>
    <w:rsid w:val="00B64CFD"/>
    <w:rsid w:val="00B82FF8"/>
    <w:rsid w:val="00B843B0"/>
    <w:rsid w:val="00B90293"/>
    <w:rsid w:val="00B97402"/>
    <w:rsid w:val="00BB0071"/>
    <w:rsid w:val="00BB4150"/>
    <w:rsid w:val="00BC0E71"/>
    <w:rsid w:val="00BC4795"/>
    <w:rsid w:val="00BD0B2B"/>
    <w:rsid w:val="00BE71CC"/>
    <w:rsid w:val="00C02A3C"/>
    <w:rsid w:val="00C07F8A"/>
    <w:rsid w:val="00C323AA"/>
    <w:rsid w:val="00C32509"/>
    <w:rsid w:val="00C45B5D"/>
    <w:rsid w:val="00C61D25"/>
    <w:rsid w:val="00C632ED"/>
    <w:rsid w:val="00C64D3B"/>
    <w:rsid w:val="00C71D3C"/>
    <w:rsid w:val="00C91162"/>
    <w:rsid w:val="00CA1636"/>
    <w:rsid w:val="00CB48C6"/>
    <w:rsid w:val="00CC7FBF"/>
    <w:rsid w:val="00CE14A1"/>
    <w:rsid w:val="00CE549A"/>
    <w:rsid w:val="00CF2B84"/>
    <w:rsid w:val="00CF32D0"/>
    <w:rsid w:val="00CF73DF"/>
    <w:rsid w:val="00D04CDC"/>
    <w:rsid w:val="00D16CB2"/>
    <w:rsid w:val="00D20FE7"/>
    <w:rsid w:val="00D2158C"/>
    <w:rsid w:val="00D305AC"/>
    <w:rsid w:val="00D3471D"/>
    <w:rsid w:val="00D35A22"/>
    <w:rsid w:val="00D447FC"/>
    <w:rsid w:val="00D5306A"/>
    <w:rsid w:val="00D648E8"/>
    <w:rsid w:val="00D6569E"/>
    <w:rsid w:val="00D80AFC"/>
    <w:rsid w:val="00D84FF3"/>
    <w:rsid w:val="00D92631"/>
    <w:rsid w:val="00D92A8F"/>
    <w:rsid w:val="00D9721A"/>
    <w:rsid w:val="00DA068F"/>
    <w:rsid w:val="00DB6012"/>
    <w:rsid w:val="00DC06AF"/>
    <w:rsid w:val="00DC7249"/>
    <w:rsid w:val="00DD1575"/>
    <w:rsid w:val="00DD19CF"/>
    <w:rsid w:val="00DD3B89"/>
    <w:rsid w:val="00DD6B3C"/>
    <w:rsid w:val="00E0049D"/>
    <w:rsid w:val="00E03753"/>
    <w:rsid w:val="00E07887"/>
    <w:rsid w:val="00E16B93"/>
    <w:rsid w:val="00E4150C"/>
    <w:rsid w:val="00E71A3D"/>
    <w:rsid w:val="00E874C3"/>
    <w:rsid w:val="00EB64F6"/>
    <w:rsid w:val="00EB6F99"/>
    <w:rsid w:val="00EC7BE3"/>
    <w:rsid w:val="00EE4D9D"/>
    <w:rsid w:val="00EF1300"/>
    <w:rsid w:val="00EF160B"/>
    <w:rsid w:val="00EF669D"/>
    <w:rsid w:val="00F410DB"/>
    <w:rsid w:val="00F434B4"/>
    <w:rsid w:val="00F578E2"/>
    <w:rsid w:val="00F63521"/>
    <w:rsid w:val="00F6635B"/>
    <w:rsid w:val="00F749A3"/>
    <w:rsid w:val="00F761C5"/>
    <w:rsid w:val="00F7751C"/>
    <w:rsid w:val="00F87B34"/>
    <w:rsid w:val="00F90A91"/>
    <w:rsid w:val="00F94011"/>
    <w:rsid w:val="00F94628"/>
    <w:rsid w:val="00F960B3"/>
    <w:rsid w:val="00FA4F6E"/>
    <w:rsid w:val="00FB36BA"/>
    <w:rsid w:val="00FC2DDB"/>
    <w:rsid w:val="00FD2067"/>
    <w:rsid w:val="00FD3367"/>
    <w:rsid w:val="00FE3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E71CC"/>
  </w:style>
  <w:style w:type="character" w:customStyle="1" w:styleId="a5">
    <w:name w:val="日付 (文字)"/>
    <w:basedOn w:val="a0"/>
    <w:link w:val="a4"/>
    <w:uiPriority w:val="99"/>
    <w:semiHidden/>
    <w:rsid w:val="00BE71CC"/>
  </w:style>
  <w:style w:type="paragraph" w:styleId="a6">
    <w:name w:val="Balloon Text"/>
    <w:basedOn w:val="a"/>
    <w:link w:val="a7"/>
    <w:uiPriority w:val="99"/>
    <w:semiHidden/>
    <w:unhideWhenUsed/>
    <w:rsid w:val="00611F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F64"/>
    <w:rPr>
      <w:rFonts w:asciiTheme="majorHAnsi" w:eastAsiaTheme="majorEastAsia" w:hAnsiTheme="majorHAnsi" w:cstheme="majorBidi"/>
      <w:sz w:val="18"/>
      <w:szCs w:val="18"/>
    </w:rPr>
  </w:style>
  <w:style w:type="paragraph" w:styleId="a8">
    <w:name w:val="header"/>
    <w:basedOn w:val="a"/>
    <w:link w:val="a9"/>
    <w:uiPriority w:val="99"/>
    <w:unhideWhenUsed/>
    <w:rsid w:val="00FD3367"/>
    <w:pPr>
      <w:tabs>
        <w:tab w:val="center" w:pos="4252"/>
        <w:tab w:val="right" w:pos="8504"/>
      </w:tabs>
      <w:snapToGrid w:val="0"/>
    </w:pPr>
  </w:style>
  <w:style w:type="character" w:customStyle="1" w:styleId="a9">
    <w:name w:val="ヘッダー (文字)"/>
    <w:basedOn w:val="a0"/>
    <w:link w:val="a8"/>
    <w:uiPriority w:val="99"/>
    <w:rsid w:val="00FD3367"/>
  </w:style>
  <w:style w:type="paragraph" w:styleId="aa">
    <w:name w:val="footer"/>
    <w:basedOn w:val="a"/>
    <w:link w:val="ab"/>
    <w:uiPriority w:val="99"/>
    <w:unhideWhenUsed/>
    <w:rsid w:val="00FD3367"/>
    <w:pPr>
      <w:tabs>
        <w:tab w:val="center" w:pos="4252"/>
        <w:tab w:val="right" w:pos="8504"/>
      </w:tabs>
      <w:snapToGrid w:val="0"/>
    </w:pPr>
  </w:style>
  <w:style w:type="character" w:customStyle="1" w:styleId="ab">
    <w:name w:val="フッター (文字)"/>
    <w:basedOn w:val="a0"/>
    <w:link w:val="aa"/>
    <w:uiPriority w:val="99"/>
    <w:rsid w:val="00FD3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E71CC"/>
  </w:style>
  <w:style w:type="character" w:customStyle="1" w:styleId="a5">
    <w:name w:val="日付 (文字)"/>
    <w:basedOn w:val="a0"/>
    <w:link w:val="a4"/>
    <w:uiPriority w:val="99"/>
    <w:semiHidden/>
    <w:rsid w:val="00BE71CC"/>
  </w:style>
  <w:style w:type="paragraph" w:styleId="a6">
    <w:name w:val="Balloon Text"/>
    <w:basedOn w:val="a"/>
    <w:link w:val="a7"/>
    <w:uiPriority w:val="99"/>
    <w:semiHidden/>
    <w:unhideWhenUsed/>
    <w:rsid w:val="00611F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F64"/>
    <w:rPr>
      <w:rFonts w:asciiTheme="majorHAnsi" w:eastAsiaTheme="majorEastAsia" w:hAnsiTheme="majorHAnsi" w:cstheme="majorBidi"/>
      <w:sz w:val="18"/>
      <w:szCs w:val="18"/>
    </w:rPr>
  </w:style>
  <w:style w:type="paragraph" w:styleId="a8">
    <w:name w:val="header"/>
    <w:basedOn w:val="a"/>
    <w:link w:val="a9"/>
    <w:uiPriority w:val="99"/>
    <w:unhideWhenUsed/>
    <w:rsid w:val="00FD3367"/>
    <w:pPr>
      <w:tabs>
        <w:tab w:val="center" w:pos="4252"/>
        <w:tab w:val="right" w:pos="8504"/>
      </w:tabs>
      <w:snapToGrid w:val="0"/>
    </w:pPr>
  </w:style>
  <w:style w:type="character" w:customStyle="1" w:styleId="a9">
    <w:name w:val="ヘッダー (文字)"/>
    <w:basedOn w:val="a0"/>
    <w:link w:val="a8"/>
    <w:uiPriority w:val="99"/>
    <w:rsid w:val="00FD3367"/>
  </w:style>
  <w:style w:type="paragraph" w:styleId="aa">
    <w:name w:val="footer"/>
    <w:basedOn w:val="a"/>
    <w:link w:val="ab"/>
    <w:uiPriority w:val="99"/>
    <w:unhideWhenUsed/>
    <w:rsid w:val="00FD3367"/>
    <w:pPr>
      <w:tabs>
        <w:tab w:val="center" w:pos="4252"/>
        <w:tab w:val="right" w:pos="8504"/>
      </w:tabs>
      <w:snapToGrid w:val="0"/>
    </w:pPr>
  </w:style>
  <w:style w:type="character" w:customStyle="1" w:styleId="ab">
    <w:name w:val="フッター (文字)"/>
    <w:basedOn w:val="a0"/>
    <w:link w:val="aa"/>
    <w:uiPriority w:val="99"/>
    <w:rsid w:val="00FD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FB6B-2C9B-4A97-BC49-284733FD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Ttmyk</dc:creator>
  <cp:lastModifiedBy>仙台市</cp:lastModifiedBy>
  <cp:revision>47</cp:revision>
  <cp:lastPrinted>2018-05-22T09:42:00Z</cp:lastPrinted>
  <dcterms:created xsi:type="dcterms:W3CDTF">2018-05-13T12:53:00Z</dcterms:created>
  <dcterms:modified xsi:type="dcterms:W3CDTF">2018-05-25T07:55:00Z</dcterms:modified>
</cp:coreProperties>
</file>